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A577A9">
        <w:rPr>
          <w:b/>
        </w:rPr>
        <w:fldChar w:fldCharType="begin"/>
      </w:r>
      <w:r w:rsidR="00A577A9">
        <w:rPr>
          <w:b/>
        </w:rPr>
        <w:instrText xml:space="preserve"> INCLUDEPICTURE  "http://entrecomillas.com.co/wp-content/uploads/2014/09/logo_20congreso_1.png" \* MERGEFORMATINET </w:instrText>
      </w:r>
      <w:r w:rsidR="00A577A9">
        <w:rPr>
          <w:b/>
        </w:rPr>
        <w:fldChar w:fldCharType="separate"/>
      </w:r>
      <w:r w:rsidR="006F43DF">
        <w:rPr>
          <w:b/>
        </w:rPr>
        <w:fldChar w:fldCharType="begin"/>
      </w:r>
      <w:r w:rsidR="006F43DF">
        <w:rPr>
          <w:b/>
        </w:rPr>
        <w:instrText xml:space="preserve"> INCLUDEPICTURE  "http://entrecomillas.com.co/wp-content/uploads/2014/09/logo_20congreso_1.png" \* MERGEFORMATINET </w:instrText>
      </w:r>
      <w:r w:rsidR="006F43DF">
        <w:rPr>
          <w:b/>
        </w:rPr>
        <w:fldChar w:fldCharType="separate"/>
      </w:r>
      <w:r w:rsidR="003A56FB">
        <w:rPr>
          <w:b/>
        </w:rPr>
        <w:fldChar w:fldCharType="begin"/>
      </w:r>
      <w:r w:rsidR="003A56FB">
        <w:rPr>
          <w:b/>
        </w:rPr>
        <w:instrText xml:space="preserve"> INCLUDEPICTURE  "http://entrecomillas.com.co/wp-content/uploads/2014/09/logo_20congreso_1.png" \* MERGEFORMATINET </w:instrText>
      </w:r>
      <w:r w:rsidR="003A56FB">
        <w:rPr>
          <w:b/>
        </w:rPr>
        <w:fldChar w:fldCharType="separate"/>
      </w:r>
      <w:r w:rsidR="00DC4EC7">
        <w:rPr>
          <w:b/>
        </w:rPr>
        <w:fldChar w:fldCharType="begin"/>
      </w:r>
      <w:r w:rsidR="00DC4EC7">
        <w:rPr>
          <w:b/>
        </w:rPr>
        <w:instrText xml:space="preserve"> INCLUDEPICTURE  "http://entrecomillas.com.co/wp-content/uploads/2014/09/logo_20congreso_1.png" \* MERGEFORMATINET </w:instrText>
      </w:r>
      <w:r w:rsidR="00DC4EC7">
        <w:rPr>
          <w:b/>
        </w:rPr>
        <w:fldChar w:fldCharType="separate"/>
      </w:r>
      <w:r w:rsidR="002A1DCE">
        <w:rPr>
          <w:b/>
        </w:rPr>
        <w:fldChar w:fldCharType="begin"/>
      </w:r>
      <w:r w:rsidR="002A1DCE">
        <w:rPr>
          <w:b/>
        </w:rPr>
        <w:instrText xml:space="preserve"> INCLUDEPICTURE  "http://entrecomillas.com.co/wp-content/uploads/2014/09/logo_20congreso_1.png" \* MERGEFORMATINET </w:instrText>
      </w:r>
      <w:r w:rsidR="002A1DCE">
        <w:rPr>
          <w:b/>
        </w:rPr>
        <w:fldChar w:fldCharType="separate"/>
      </w:r>
      <w:r w:rsidR="007C2681">
        <w:rPr>
          <w:b/>
        </w:rPr>
        <w:fldChar w:fldCharType="begin"/>
      </w:r>
      <w:r w:rsidR="007C2681">
        <w:rPr>
          <w:b/>
        </w:rPr>
        <w:instrText xml:space="preserve"> INCLUDEPICTURE  "http://entrecomillas.com.co/wp-content/uploads/2014/09/logo_20congreso_1.png" \* MERGEFORMATINET </w:instrText>
      </w:r>
      <w:r w:rsidR="007C2681">
        <w:rPr>
          <w:b/>
        </w:rPr>
        <w:fldChar w:fldCharType="separate"/>
      </w:r>
      <w:r w:rsidR="006A61B6">
        <w:rPr>
          <w:b/>
        </w:rPr>
        <w:fldChar w:fldCharType="begin"/>
      </w:r>
      <w:r w:rsidR="006A61B6">
        <w:rPr>
          <w:b/>
        </w:rPr>
        <w:instrText xml:space="preserve"> INCLUDEPICTURE  "http://entrecomillas.com.co/wp-content/uploads/2014/09/logo_20congreso_1.png" \* MERGEFORMATINET </w:instrText>
      </w:r>
      <w:r w:rsidR="006A61B6">
        <w:rPr>
          <w:b/>
        </w:rPr>
        <w:fldChar w:fldCharType="separate"/>
      </w:r>
      <w:r w:rsidR="00793D27">
        <w:rPr>
          <w:b/>
        </w:rPr>
        <w:fldChar w:fldCharType="begin"/>
      </w:r>
      <w:r w:rsidR="00793D27">
        <w:rPr>
          <w:b/>
        </w:rPr>
        <w:instrText xml:space="preserve"> INCLUDEPICTURE  "http://entrecomillas.com.co/wp-content/uploads/2014/09/logo_20congreso_1.png" \* MERGEFORMATINET </w:instrText>
      </w:r>
      <w:r w:rsidR="00793D27">
        <w:rPr>
          <w:b/>
        </w:rPr>
        <w:fldChar w:fldCharType="separate"/>
      </w:r>
      <w:r w:rsidR="00C968F1">
        <w:rPr>
          <w:b/>
        </w:rPr>
        <w:fldChar w:fldCharType="begin"/>
      </w:r>
      <w:r w:rsidR="00C968F1">
        <w:rPr>
          <w:b/>
        </w:rPr>
        <w:instrText xml:space="preserve"> INCLUDEPICTURE  "http://entrecomillas.com.co/wp-content/uploads/2014/09/logo_20congreso_1.png" \* MERGEFORMATINET </w:instrText>
      </w:r>
      <w:r w:rsidR="00C968F1">
        <w:rPr>
          <w:b/>
        </w:rPr>
        <w:fldChar w:fldCharType="separate"/>
      </w:r>
      <w:r w:rsidR="008B3F9B">
        <w:rPr>
          <w:b/>
        </w:rPr>
        <w:fldChar w:fldCharType="begin"/>
      </w:r>
      <w:r w:rsidR="008B3F9B">
        <w:rPr>
          <w:b/>
        </w:rPr>
        <w:instrText xml:space="preserve"> INCLUDEPICTURE  "http://entrecomillas.com.co/wp-content/uploads/2014/09/logo_20congreso_1.png" \* MERGEFORMATINET </w:instrText>
      </w:r>
      <w:r w:rsidR="008B3F9B">
        <w:rPr>
          <w:b/>
        </w:rPr>
        <w:fldChar w:fldCharType="separate"/>
      </w:r>
      <w:r w:rsidR="00433D2B">
        <w:rPr>
          <w:b/>
        </w:rPr>
        <w:fldChar w:fldCharType="begin"/>
      </w:r>
      <w:r w:rsidR="00433D2B">
        <w:rPr>
          <w:b/>
        </w:rPr>
        <w:instrText xml:space="preserve"> INCLUDEPICTURE  "http://entrecomillas.com.co/wp-content/uploads/2014/09/logo_20congreso_1.png" \* MERGEFORMATINET </w:instrText>
      </w:r>
      <w:r w:rsidR="00433D2B">
        <w:rPr>
          <w:b/>
        </w:rPr>
        <w:fldChar w:fldCharType="separate"/>
      </w:r>
      <w:r w:rsidR="007F60EE">
        <w:rPr>
          <w:b/>
        </w:rPr>
        <w:fldChar w:fldCharType="begin"/>
      </w:r>
      <w:r w:rsidR="007F60EE">
        <w:rPr>
          <w:b/>
        </w:rPr>
        <w:instrText xml:space="preserve"> INCLUDEPICTURE  "http://entrecomillas.com.co/wp-content/uploads/2014/09/logo_20congreso_1.png" \* MERGEFORMATINET </w:instrText>
      </w:r>
      <w:r w:rsidR="007F60EE">
        <w:rPr>
          <w:b/>
        </w:rPr>
        <w:fldChar w:fldCharType="separate"/>
      </w:r>
      <w:r w:rsidR="00FD20B5">
        <w:rPr>
          <w:b/>
        </w:rPr>
        <w:fldChar w:fldCharType="begin"/>
      </w:r>
      <w:r w:rsidR="00FD20B5">
        <w:rPr>
          <w:b/>
        </w:rPr>
        <w:instrText xml:space="preserve"> INCLUDEPICTURE  "http://entrecomillas.com.co/wp-content/uploads/2014/09/logo_20congreso_1.png" \* MERGEFORMATINET </w:instrText>
      </w:r>
      <w:r w:rsidR="00FD20B5">
        <w:rPr>
          <w:b/>
        </w:rPr>
        <w:fldChar w:fldCharType="separate"/>
      </w:r>
      <w:r w:rsidR="00A07EDE">
        <w:rPr>
          <w:b/>
        </w:rPr>
        <w:fldChar w:fldCharType="begin"/>
      </w:r>
      <w:r w:rsidR="00A07EDE">
        <w:rPr>
          <w:b/>
        </w:rPr>
        <w:instrText xml:space="preserve"> INCLUDEPICTURE  "http://entrecomillas.com.co/wp-content/uploads/2014/09/logo_20congreso_1.png" \* MERGEFORMATINET </w:instrText>
      </w:r>
      <w:r w:rsidR="00A07EDE">
        <w:rPr>
          <w:b/>
        </w:rPr>
        <w:fldChar w:fldCharType="separate"/>
      </w:r>
      <w:r w:rsidR="00385A1B">
        <w:rPr>
          <w:b/>
        </w:rPr>
        <w:fldChar w:fldCharType="begin"/>
      </w:r>
      <w:r w:rsidR="00385A1B">
        <w:rPr>
          <w:b/>
        </w:rPr>
        <w:instrText xml:space="preserve"> INCLUDEPICTURE  "http://entrecomillas.com.co/wp-content/uploads/2014/09/logo_20congreso_1.png" \* MERGEFORMATINET </w:instrText>
      </w:r>
      <w:r w:rsidR="00385A1B">
        <w:rPr>
          <w:b/>
        </w:rPr>
        <w:fldChar w:fldCharType="separate"/>
      </w:r>
      <w:r w:rsidR="00831F88">
        <w:rPr>
          <w:b/>
        </w:rPr>
        <w:fldChar w:fldCharType="begin"/>
      </w:r>
      <w:r w:rsidR="00831F88">
        <w:rPr>
          <w:b/>
        </w:rPr>
        <w:instrText xml:space="preserve"> INCLUDEPICTURE  "http://entrecomillas.com.co/wp-content/uploads/2014/09/logo_20congreso_1.png" \* MERGEFORMATINET </w:instrText>
      </w:r>
      <w:r w:rsidR="00831F88">
        <w:rPr>
          <w:b/>
        </w:rPr>
        <w:fldChar w:fldCharType="separate"/>
      </w:r>
      <w:r w:rsidR="001414BB">
        <w:rPr>
          <w:b/>
        </w:rPr>
        <w:fldChar w:fldCharType="begin"/>
      </w:r>
      <w:r w:rsidR="001414BB">
        <w:rPr>
          <w:b/>
        </w:rPr>
        <w:instrText xml:space="preserve"> INCLUDEPICTURE  "http://entrecomillas.com.co/wp-content/uploads/2014/09/logo_20congreso_1.png" \* MERGEFORMATINET </w:instrText>
      </w:r>
      <w:r w:rsidR="001414BB">
        <w:rPr>
          <w:b/>
        </w:rPr>
        <w:fldChar w:fldCharType="separate"/>
      </w:r>
      <w:r w:rsidR="006F728F">
        <w:rPr>
          <w:b/>
        </w:rPr>
        <w:fldChar w:fldCharType="begin"/>
      </w:r>
      <w:r w:rsidR="006F728F">
        <w:rPr>
          <w:b/>
        </w:rPr>
        <w:instrText xml:space="preserve"> </w:instrText>
      </w:r>
      <w:r w:rsidR="006F728F">
        <w:rPr>
          <w:b/>
        </w:rPr>
        <w:instrText>INCLUDEPICTURE  "http://entrecomillas.com.co/wp-content/uploads/2014/09/logo_20congreso_1.pn</w:instrText>
      </w:r>
      <w:r w:rsidR="006F728F">
        <w:rPr>
          <w:b/>
        </w:rPr>
        <w:instrText>g" \* MERGEFORMATINET</w:instrText>
      </w:r>
      <w:r w:rsidR="006F728F">
        <w:rPr>
          <w:b/>
        </w:rPr>
        <w:instrText xml:space="preserve"> </w:instrText>
      </w:r>
      <w:r w:rsidR="006F728F">
        <w:rPr>
          <w:b/>
        </w:rPr>
        <w:fldChar w:fldCharType="separate"/>
      </w:r>
      <w:r w:rsidR="00FD0D7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6F728F">
        <w:rPr>
          <w:b/>
        </w:rPr>
        <w:fldChar w:fldCharType="end"/>
      </w:r>
      <w:r w:rsidR="001414BB">
        <w:rPr>
          <w:b/>
        </w:rPr>
        <w:fldChar w:fldCharType="end"/>
      </w:r>
      <w:r w:rsidR="00831F88">
        <w:rPr>
          <w:b/>
        </w:rPr>
        <w:fldChar w:fldCharType="end"/>
      </w:r>
      <w:r w:rsidR="00385A1B">
        <w:rPr>
          <w:b/>
        </w:rPr>
        <w:fldChar w:fldCharType="end"/>
      </w:r>
      <w:r w:rsidR="00A07EDE">
        <w:rPr>
          <w:b/>
        </w:rPr>
        <w:fldChar w:fldCharType="end"/>
      </w:r>
      <w:r w:rsidR="00FD20B5">
        <w:rPr>
          <w:b/>
        </w:rPr>
        <w:fldChar w:fldCharType="end"/>
      </w:r>
      <w:r w:rsidR="007F60EE">
        <w:rPr>
          <w:b/>
        </w:rPr>
        <w:fldChar w:fldCharType="end"/>
      </w:r>
      <w:r w:rsidR="00433D2B">
        <w:rPr>
          <w:b/>
        </w:rPr>
        <w:fldChar w:fldCharType="end"/>
      </w:r>
      <w:r w:rsidR="008B3F9B">
        <w:rPr>
          <w:b/>
        </w:rPr>
        <w:fldChar w:fldCharType="end"/>
      </w:r>
      <w:r w:rsidR="00C968F1">
        <w:rPr>
          <w:b/>
        </w:rPr>
        <w:fldChar w:fldCharType="end"/>
      </w:r>
      <w:r w:rsidR="00793D27">
        <w:rPr>
          <w:b/>
        </w:rPr>
        <w:fldChar w:fldCharType="end"/>
      </w:r>
      <w:r w:rsidR="006A61B6">
        <w:rPr>
          <w:b/>
        </w:rPr>
        <w:fldChar w:fldCharType="end"/>
      </w:r>
      <w:r w:rsidR="007C2681">
        <w:rPr>
          <w:b/>
        </w:rPr>
        <w:fldChar w:fldCharType="end"/>
      </w:r>
      <w:r w:rsidR="002A1DCE">
        <w:rPr>
          <w:b/>
        </w:rPr>
        <w:fldChar w:fldCharType="end"/>
      </w:r>
      <w:r w:rsidR="00DC4EC7">
        <w:rPr>
          <w:b/>
        </w:rPr>
        <w:fldChar w:fldCharType="end"/>
      </w:r>
      <w:r w:rsidR="003A56FB">
        <w:rPr>
          <w:b/>
        </w:rPr>
        <w:fldChar w:fldCharType="end"/>
      </w:r>
      <w:r w:rsidR="006F43DF">
        <w:rPr>
          <w:b/>
        </w:rPr>
        <w:fldChar w:fldCharType="end"/>
      </w:r>
      <w:r w:rsidR="00A577A9">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51CEE026" w14:textId="77777777" w:rsidR="00312C01" w:rsidRDefault="00312C01" w:rsidP="00DF32BB">
      <w:pPr>
        <w:spacing w:after="0" w:line="240" w:lineRule="auto"/>
        <w:jc w:val="center"/>
        <w:rPr>
          <w:rFonts w:eastAsia="Constantia" w:cstheme="minorHAnsi"/>
          <w:b/>
        </w:rPr>
      </w:pPr>
    </w:p>
    <w:p w14:paraId="64A41BC9" w14:textId="77777777" w:rsidR="00B37A72" w:rsidRPr="006444AA" w:rsidRDefault="00B37A72" w:rsidP="00DF32BB">
      <w:pPr>
        <w:spacing w:after="0" w:line="240" w:lineRule="auto"/>
        <w:jc w:val="center"/>
        <w:rPr>
          <w:rFonts w:ascii="Bookman Old Style" w:eastAsia="Constantia" w:hAnsi="Bookman Old Style" w:cstheme="minorHAnsi"/>
          <w:b/>
          <w:sz w:val="24"/>
          <w:szCs w:val="24"/>
        </w:rPr>
      </w:pPr>
    </w:p>
    <w:p w14:paraId="1B87E960" w14:textId="1B89A713" w:rsidR="00CC780A" w:rsidRPr="006444AA" w:rsidRDefault="006444AA" w:rsidP="00DF32BB">
      <w:pPr>
        <w:spacing w:after="0" w:line="240" w:lineRule="auto"/>
        <w:jc w:val="center"/>
        <w:rPr>
          <w:rFonts w:ascii="Bookman Old Style" w:eastAsia="Constantia" w:hAnsi="Bookman Old Style" w:cstheme="minorHAnsi"/>
          <w:b/>
          <w:sz w:val="24"/>
          <w:szCs w:val="24"/>
        </w:rPr>
      </w:pPr>
      <w:r w:rsidRPr="006444AA">
        <w:rPr>
          <w:rFonts w:ascii="Bookman Old Style" w:eastAsia="Constantia" w:hAnsi="Bookman Old Style" w:cstheme="minorHAnsi"/>
          <w:b/>
          <w:sz w:val="24"/>
          <w:szCs w:val="24"/>
        </w:rPr>
        <w:t xml:space="preserve">TEXTO APROBADO EN PRIMER DEBATE EN LA COMISIÓN PRIMERA </w:t>
      </w:r>
    </w:p>
    <w:p w14:paraId="49C5F7ED" w14:textId="5C64A643" w:rsidR="00CC780A" w:rsidRPr="006444AA" w:rsidRDefault="006444AA" w:rsidP="00DF32BB">
      <w:pPr>
        <w:spacing w:after="0" w:line="240" w:lineRule="auto"/>
        <w:jc w:val="center"/>
        <w:rPr>
          <w:rFonts w:ascii="Bookman Old Style" w:eastAsia="Constantia" w:hAnsi="Bookman Old Style" w:cstheme="minorHAnsi"/>
          <w:b/>
          <w:sz w:val="24"/>
          <w:szCs w:val="24"/>
        </w:rPr>
      </w:pPr>
      <w:r w:rsidRPr="006444AA">
        <w:rPr>
          <w:rFonts w:ascii="Bookman Old Style" w:eastAsia="Constantia" w:hAnsi="Bookman Old Style" w:cstheme="minorHAnsi"/>
          <w:b/>
          <w:sz w:val="24"/>
          <w:szCs w:val="24"/>
        </w:rPr>
        <w:t>DE LA CÁMARA DE REPRESENTANTES</w:t>
      </w:r>
    </w:p>
    <w:p w14:paraId="5EF88D24" w14:textId="76F205F4" w:rsidR="00A75649" w:rsidRPr="00A75649" w:rsidRDefault="007F60EE" w:rsidP="00A75649">
      <w:pPr>
        <w:spacing w:after="0" w:line="240" w:lineRule="auto"/>
        <w:jc w:val="center"/>
        <w:rPr>
          <w:rFonts w:ascii="Bookman Old Style" w:hAnsi="Bookman Old Style" w:cstheme="minorHAnsi"/>
          <w:b/>
          <w:sz w:val="24"/>
          <w:szCs w:val="24"/>
        </w:rPr>
      </w:pPr>
      <w:r>
        <w:rPr>
          <w:rFonts w:ascii="Bookman Old Style" w:hAnsi="Bookman Old Style" w:cstheme="minorHAnsi"/>
          <w:b/>
          <w:sz w:val="24"/>
          <w:szCs w:val="24"/>
        </w:rPr>
        <w:t>AL PROYECTO DE LEY No</w:t>
      </w:r>
      <w:r w:rsidR="006444AA" w:rsidRPr="006444AA">
        <w:rPr>
          <w:rFonts w:ascii="Bookman Old Style" w:hAnsi="Bookman Old Style" w:cstheme="minorHAnsi"/>
          <w:b/>
          <w:sz w:val="24"/>
          <w:szCs w:val="24"/>
        </w:rPr>
        <w:t xml:space="preserve">. </w:t>
      </w:r>
      <w:r w:rsidR="00A75649">
        <w:rPr>
          <w:rFonts w:ascii="Bookman Old Style" w:eastAsia="Bookman Old Style" w:hAnsi="Bookman Old Style" w:cs="Bookman Old Style"/>
          <w:b/>
          <w:sz w:val="26"/>
          <w:szCs w:val="26"/>
        </w:rPr>
        <w:t>145 DE 2023 CÁMARA</w:t>
      </w:r>
    </w:p>
    <w:p w14:paraId="004B8FD3" w14:textId="77777777" w:rsidR="00A75649" w:rsidRDefault="00A75649" w:rsidP="00412FAD">
      <w:pPr>
        <w:jc w:val="center"/>
        <w:rPr>
          <w:rFonts w:ascii="Bookman Old Style" w:eastAsia="Bookman Old Style" w:hAnsi="Bookman Old Style" w:cs="Bookman Old Style"/>
          <w:b/>
          <w:sz w:val="26"/>
          <w:szCs w:val="26"/>
        </w:rPr>
      </w:pPr>
    </w:p>
    <w:p w14:paraId="6DD93AC9" w14:textId="4CCFDE42" w:rsidR="00A75649" w:rsidRDefault="00A75649" w:rsidP="00412FAD">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“POR MEDIO DE LA CUAL SE ESTABLECEN MEDIDAS EN FAVOR DE LA PROTECCIÓN DE LA LIBERTAD, INTEGRIDAD Y FORMACIÓN SEXUAL DE NIÑOS, NIÑAS Y ADOLESCENTES Y SE DICTAN OTRAS DISPOSICIONES”</w:t>
      </w:r>
    </w:p>
    <w:p w14:paraId="41B12682" w14:textId="77777777" w:rsidR="00A75649" w:rsidRDefault="00A75649" w:rsidP="00412FAD">
      <w:pPr>
        <w:jc w:val="center"/>
        <w:rPr>
          <w:rFonts w:ascii="Bookman Old Style" w:eastAsia="Bookman Old Style" w:hAnsi="Bookman Old Style" w:cs="Bookman Old Style"/>
          <w:b/>
          <w:sz w:val="26"/>
          <w:szCs w:val="26"/>
        </w:rPr>
      </w:pPr>
    </w:p>
    <w:p w14:paraId="441F2A42" w14:textId="77777777" w:rsidR="00A75649" w:rsidRDefault="00A75649" w:rsidP="00A75649">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EL CONGRESO DE COLOMBIA</w:t>
      </w:r>
    </w:p>
    <w:p w14:paraId="324F9194" w14:textId="77777777" w:rsidR="00412FAD" w:rsidRDefault="00412FAD" w:rsidP="00A75649">
      <w:pPr>
        <w:jc w:val="center"/>
        <w:rPr>
          <w:rFonts w:ascii="Bookman Old Style" w:eastAsia="Bookman Old Style" w:hAnsi="Bookman Old Style" w:cs="Bookman Old Style"/>
          <w:b/>
          <w:sz w:val="26"/>
          <w:szCs w:val="26"/>
        </w:rPr>
      </w:pPr>
    </w:p>
    <w:p w14:paraId="7AA5086E" w14:textId="07891DF9" w:rsidR="00A75649" w:rsidRDefault="00A75649" w:rsidP="00A75649">
      <w:pPr>
        <w:jc w:val="center"/>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DECRETA:</w:t>
      </w:r>
    </w:p>
    <w:p w14:paraId="284157BA" w14:textId="77777777" w:rsidR="00A75649" w:rsidRDefault="00A75649" w:rsidP="00A75649">
      <w:pPr>
        <w:rPr>
          <w:rFonts w:ascii="Bookman Old Style" w:eastAsia="Bookman Old Style" w:hAnsi="Bookman Old Style" w:cs="Bookman Old Style"/>
          <w:b/>
          <w:sz w:val="26"/>
          <w:szCs w:val="26"/>
        </w:rPr>
      </w:pPr>
    </w:p>
    <w:p w14:paraId="6DCF4678" w14:textId="741831DD"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1°. Objeto: </w:t>
      </w:r>
      <w:r>
        <w:rPr>
          <w:rFonts w:ascii="Bookman Old Style" w:eastAsia="Bookman Old Style" w:hAnsi="Bookman Old Style" w:cs="Bookman Old Style"/>
          <w:sz w:val="26"/>
          <w:szCs w:val="26"/>
        </w:rPr>
        <w:t xml:space="preserve">La presente ley tiene como objeto establecer disposiciones que busquen materialmente </w:t>
      </w:r>
      <w:r w:rsidR="00412FAD">
        <w:rPr>
          <w:rFonts w:ascii="Bookman Old Style" w:eastAsia="Bookman Old Style" w:hAnsi="Bookman Old Style" w:cs="Bookman Old Style"/>
          <w:sz w:val="26"/>
          <w:szCs w:val="26"/>
        </w:rPr>
        <w:t xml:space="preserve">la protección de la </w:t>
      </w:r>
      <w:r>
        <w:rPr>
          <w:rFonts w:ascii="Bookman Old Style" w:eastAsia="Bookman Old Style" w:hAnsi="Bookman Old Style" w:cs="Bookman Old Style"/>
          <w:sz w:val="26"/>
          <w:szCs w:val="26"/>
        </w:rPr>
        <w:t>libertad</w:t>
      </w:r>
      <w:r w:rsidR="00412FAD">
        <w:rPr>
          <w:rFonts w:ascii="Bookman Old Style" w:eastAsia="Bookman Old Style" w:hAnsi="Bookman Old Style" w:cs="Bookman Old Style"/>
          <w:sz w:val="26"/>
          <w:szCs w:val="26"/>
        </w:rPr>
        <w:t>, integridad</w:t>
      </w:r>
      <w:r>
        <w:rPr>
          <w:rFonts w:ascii="Bookman Old Style" w:eastAsia="Bookman Old Style" w:hAnsi="Bookman Old Style" w:cs="Bookman Old Style"/>
          <w:sz w:val="26"/>
          <w:szCs w:val="26"/>
        </w:rPr>
        <w:t xml:space="preserve"> y formación sexual de niños, niñas y adolescentes. Para ello, se otorga herramientas provisionales a las entidades públicas y privadas para </w:t>
      </w:r>
      <w:r w:rsidR="00412FAD">
        <w:rPr>
          <w:rFonts w:ascii="Bookman Old Style" w:eastAsia="Bookman Old Style" w:hAnsi="Bookman Old Style" w:cs="Bookman Old Style"/>
          <w:sz w:val="26"/>
          <w:szCs w:val="26"/>
        </w:rPr>
        <w:t>evitar</w:t>
      </w:r>
      <w:r>
        <w:rPr>
          <w:rFonts w:ascii="Bookman Old Style" w:eastAsia="Bookman Old Style" w:hAnsi="Bookman Old Style" w:cs="Bookman Old Style"/>
          <w:sz w:val="26"/>
          <w:szCs w:val="26"/>
        </w:rPr>
        <w:t xml:space="preserve"> el contacto directo y habitual con menores de edad a personas frente a las cuales se </w:t>
      </w:r>
      <w:r w:rsidR="00412FAD">
        <w:rPr>
          <w:rFonts w:ascii="Bookman Old Style" w:eastAsia="Bookman Old Style" w:hAnsi="Bookman Old Style" w:cs="Bookman Old Style"/>
          <w:sz w:val="26"/>
          <w:szCs w:val="26"/>
        </w:rPr>
        <w:t xml:space="preserve">inicia formalmente proceso penal y/o disciplinario por presuntos </w:t>
      </w:r>
      <w:r>
        <w:rPr>
          <w:rFonts w:ascii="Bookman Old Style" w:eastAsia="Bookman Old Style" w:hAnsi="Bookman Old Style" w:cs="Bookman Old Style"/>
          <w:sz w:val="26"/>
          <w:szCs w:val="26"/>
        </w:rPr>
        <w:t>delitos relacionados con ese bien jurídico tutelado.</w:t>
      </w:r>
    </w:p>
    <w:p w14:paraId="43CF69DF" w14:textId="77777777" w:rsidR="00A75649" w:rsidRDefault="00A75649" w:rsidP="00A75649">
      <w:pPr>
        <w:rPr>
          <w:rFonts w:ascii="Bookman Old Style" w:eastAsia="Bookman Old Style" w:hAnsi="Bookman Old Style" w:cs="Bookman Old Style"/>
          <w:b/>
          <w:sz w:val="26"/>
          <w:szCs w:val="26"/>
        </w:rPr>
      </w:pPr>
    </w:p>
    <w:p w14:paraId="071D68A8" w14:textId="77777777" w:rsidR="00A75649" w:rsidRDefault="00A75649" w:rsidP="00A75649">
      <w:pPr>
        <w:rPr>
          <w:rFonts w:ascii="Bookman Old Style" w:eastAsia="Bookman Old Style" w:hAnsi="Bookman Old Style" w:cs="Bookman Old Style"/>
          <w:b/>
          <w:sz w:val="26"/>
          <w:szCs w:val="26"/>
        </w:rPr>
      </w:pPr>
    </w:p>
    <w:p w14:paraId="0E44A3F1" w14:textId="77777777" w:rsidR="00A75649" w:rsidRDefault="00A75649" w:rsidP="00A75649">
      <w:pPr>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2°. Principios: </w:t>
      </w:r>
      <w:r>
        <w:rPr>
          <w:rFonts w:ascii="Bookman Old Style" w:eastAsia="Bookman Old Style" w:hAnsi="Bookman Old Style" w:cs="Bookman Old Style"/>
          <w:sz w:val="26"/>
          <w:szCs w:val="26"/>
        </w:rPr>
        <w:t>Son principios fundamentales de esta ley:</w:t>
      </w:r>
    </w:p>
    <w:p w14:paraId="7A51FCC9" w14:textId="77777777" w:rsidR="00A75649" w:rsidRDefault="00A75649" w:rsidP="00A75649">
      <w:pPr>
        <w:rPr>
          <w:rFonts w:ascii="Bookman Old Style" w:eastAsia="Bookman Old Style" w:hAnsi="Bookman Old Style" w:cs="Bookman Old Style"/>
          <w:sz w:val="26"/>
          <w:szCs w:val="26"/>
        </w:rPr>
      </w:pPr>
    </w:p>
    <w:p w14:paraId="365B999D" w14:textId="77777777" w:rsidR="00A75649" w:rsidRDefault="00A75649" w:rsidP="00A75649">
      <w:pPr>
        <w:numPr>
          <w:ilvl w:val="0"/>
          <w:numId w:val="69"/>
        </w:numPr>
        <w:pBdr>
          <w:top w:val="nil"/>
          <w:left w:val="nil"/>
          <w:bottom w:val="nil"/>
          <w:right w:val="nil"/>
          <w:between w:val="nil"/>
        </w:pBdr>
        <w:spacing w:after="0" w:line="240" w:lineRule="auto"/>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prevalencia de los Derechos del niño, niña y adolescente y su protección integral.</w:t>
      </w:r>
    </w:p>
    <w:p w14:paraId="7320F9C5" w14:textId="77777777" w:rsidR="00A75649" w:rsidRDefault="00A75649" w:rsidP="00A75649">
      <w:pPr>
        <w:numPr>
          <w:ilvl w:val="0"/>
          <w:numId w:val="69"/>
        </w:numPr>
        <w:pBdr>
          <w:top w:val="nil"/>
          <w:left w:val="nil"/>
          <w:bottom w:val="nil"/>
          <w:right w:val="nil"/>
          <w:between w:val="nil"/>
        </w:pBdr>
        <w:spacing w:after="0" w:line="240" w:lineRule="auto"/>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Presunción de Inocencia.</w:t>
      </w:r>
    </w:p>
    <w:p w14:paraId="531ADD52" w14:textId="77777777" w:rsidR="00A75649" w:rsidRDefault="00A75649" w:rsidP="00412FAD">
      <w:pPr>
        <w:numPr>
          <w:ilvl w:val="0"/>
          <w:numId w:val="69"/>
        </w:numPr>
        <w:pBdr>
          <w:top w:val="nil"/>
          <w:left w:val="nil"/>
          <w:bottom w:val="nil"/>
          <w:right w:val="nil"/>
          <w:between w:val="nil"/>
        </w:pBdr>
        <w:spacing w:after="0" w:line="240" w:lineRule="auto"/>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El Debido Proceso.</w:t>
      </w:r>
    </w:p>
    <w:p w14:paraId="48A97C37" w14:textId="738925E3" w:rsidR="00A75649" w:rsidRDefault="00A75649" w:rsidP="00412FAD">
      <w:pPr>
        <w:numPr>
          <w:ilvl w:val="0"/>
          <w:numId w:val="69"/>
        </w:numPr>
        <w:pBdr>
          <w:top w:val="nil"/>
          <w:left w:val="nil"/>
          <w:bottom w:val="nil"/>
          <w:right w:val="nil"/>
          <w:between w:val="nil"/>
        </w:pBdr>
        <w:spacing w:after="0" w:line="240" w:lineRule="auto"/>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lastRenderedPageBreak/>
        <w:t>El principio de corresponsabilidad</w:t>
      </w:r>
      <w:r w:rsidR="00412FAD">
        <w:rPr>
          <w:rFonts w:ascii="Bookman Old Style" w:eastAsia="Bookman Old Style" w:hAnsi="Bookman Old Style" w:cs="Bookman Old Style"/>
          <w:color w:val="000000"/>
          <w:sz w:val="26"/>
          <w:szCs w:val="26"/>
        </w:rPr>
        <w:t xml:space="preserve">, el interés superior de los niños, </w:t>
      </w:r>
      <w:r w:rsidR="0048054D">
        <w:rPr>
          <w:rFonts w:ascii="Bookman Old Style" w:eastAsia="Bookman Old Style" w:hAnsi="Bookman Old Style" w:cs="Bookman Old Style"/>
          <w:color w:val="000000"/>
          <w:sz w:val="26"/>
          <w:szCs w:val="26"/>
        </w:rPr>
        <w:t xml:space="preserve">las </w:t>
      </w:r>
      <w:r w:rsidR="00412FAD">
        <w:rPr>
          <w:rFonts w:ascii="Bookman Old Style" w:eastAsia="Bookman Old Style" w:hAnsi="Bookman Old Style" w:cs="Bookman Old Style"/>
          <w:color w:val="000000"/>
          <w:sz w:val="26"/>
          <w:szCs w:val="26"/>
        </w:rPr>
        <w:t xml:space="preserve">niñas y los adolescentes, la exigibilidad de derechos y la perspectiva de género contemplados en </w:t>
      </w:r>
      <w:r w:rsidR="0048054D">
        <w:rPr>
          <w:rFonts w:ascii="Bookman Old Style" w:eastAsia="Bookman Old Style" w:hAnsi="Bookman Old Style" w:cs="Bookman Old Style"/>
          <w:color w:val="000000"/>
          <w:sz w:val="26"/>
          <w:szCs w:val="26"/>
        </w:rPr>
        <w:t xml:space="preserve">la </w:t>
      </w:r>
      <w:r>
        <w:rPr>
          <w:rFonts w:ascii="Bookman Old Style" w:eastAsia="Bookman Old Style" w:hAnsi="Bookman Old Style" w:cs="Bookman Old Style"/>
          <w:color w:val="000000"/>
          <w:sz w:val="26"/>
          <w:szCs w:val="26"/>
        </w:rPr>
        <w:t>Ley 1098 de 2006.</w:t>
      </w:r>
    </w:p>
    <w:p w14:paraId="479AF8F3" w14:textId="32E405BC" w:rsidR="00412FAD" w:rsidRDefault="00412FAD" w:rsidP="00412FAD">
      <w:pPr>
        <w:numPr>
          <w:ilvl w:val="0"/>
          <w:numId w:val="69"/>
        </w:numPr>
        <w:pBdr>
          <w:top w:val="nil"/>
          <w:left w:val="nil"/>
          <w:bottom w:val="nil"/>
          <w:right w:val="nil"/>
          <w:between w:val="nil"/>
        </w:pBdr>
        <w:spacing w:after="0" w:line="240" w:lineRule="auto"/>
        <w:ind w:left="426"/>
        <w:jc w:val="both"/>
        <w:rPr>
          <w:rFonts w:ascii="Bookman Old Style" w:eastAsia="Bookman Old Style" w:hAnsi="Bookman Old Style" w:cs="Bookman Old Style"/>
          <w:color w:val="000000"/>
          <w:sz w:val="26"/>
          <w:szCs w:val="26"/>
        </w:rPr>
      </w:pPr>
      <w:r>
        <w:rPr>
          <w:rFonts w:ascii="Bookman Old Style" w:eastAsia="Bookman Old Style" w:hAnsi="Bookman Old Style" w:cs="Bookman Old Style"/>
          <w:color w:val="000000"/>
          <w:sz w:val="26"/>
          <w:szCs w:val="26"/>
        </w:rPr>
        <w:t>La protección integral de los menores.</w:t>
      </w:r>
    </w:p>
    <w:p w14:paraId="290F1343" w14:textId="77777777" w:rsidR="00A75649" w:rsidRDefault="00A75649" w:rsidP="00A75649">
      <w:pPr>
        <w:jc w:val="both"/>
        <w:rPr>
          <w:rFonts w:ascii="Bookman Old Style" w:eastAsia="Bookman Old Style" w:hAnsi="Bookman Old Style" w:cs="Bookman Old Style"/>
          <w:b/>
          <w:sz w:val="26"/>
          <w:szCs w:val="26"/>
        </w:rPr>
      </w:pPr>
    </w:p>
    <w:p w14:paraId="4262BD8B" w14:textId="77777777" w:rsidR="00A75649" w:rsidRDefault="00A75649" w:rsidP="00A75649">
      <w:pPr>
        <w:jc w:val="both"/>
        <w:rPr>
          <w:rFonts w:ascii="Bookman Old Style" w:eastAsia="Bookman Old Style" w:hAnsi="Bookman Old Style" w:cs="Bookman Old Style"/>
          <w:b/>
          <w:sz w:val="26"/>
          <w:szCs w:val="26"/>
        </w:rPr>
      </w:pPr>
    </w:p>
    <w:p w14:paraId="610E4CEB" w14:textId="6CA9D467"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3°. </w:t>
      </w:r>
      <w:r>
        <w:rPr>
          <w:rFonts w:ascii="Bookman Old Style" w:eastAsia="Bookman Old Style" w:hAnsi="Bookman Old Style" w:cs="Bookman Old Style"/>
          <w:sz w:val="26"/>
          <w:szCs w:val="26"/>
        </w:rPr>
        <w:t>Los establecimientos e instituciones educativas,</w:t>
      </w:r>
      <w:r w:rsidR="001A22C7">
        <w:rPr>
          <w:rFonts w:ascii="Bookman Old Style" w:eastAsia="Bookman Old Style" w:hAnsi="Bookman Old Style" w:cs="Bookman Old Style"/>
          <w:sz w:val="26"/>
          <w:szCs w:val="26"/>
        </w:rPr>
        <w:t xml:space="preserve"> una vez tengan conocimiento de</w:t>
      </w:r>
      <w:r>
        <w:rPr>
          <w:rFonts w:ascii="Bookman Old Style" w:eastAsia="Bookman Old Style" w:hAnsi="Bookman Old Style" w:cs="Bookman Old Style"/>
          <w:sz w:val="26"/>
          <w:szCs w:val="26"/>
        </w:rPr>
        <w:t xml:space="preserve"> </w:t>
      </w:r>
      <w:r w:rsidR="001A22C7">
        <w:rPr>
          <w:rFonts w:ascii="Bookman Old Style" w:eastAsia="Bookman Old Style" w:hAnsi="Bookman Old Style" w:cs="Bookman Old Style"/>
          <w:sz w:val="26"/>
          <w:szCs w:val="26"/>
        </w:rPr>
        <w:t xml:space="preserve">presuntos casos que atenten contra la  libertad, integridad y formación sexuales de niños, niñas y adolescentes, </w:t>
      </w:r>
      <w:r>
        <w:rPr>
          <w:rFonts w:ascii="Bookman Old Style" w:eastAsia="Bookman Old Style" w:hAnsi="Bookman Old Style" w:cs="Bookman Old Style"/>
          <w:sz w:val="26"/>
          <w:szCs w:val="26"/>
        </w:rPr>
        <w:t>deberá activar el Sistema Nacional de Convivencia Escolar y Formación para los Derechos Humanos, la Educación para la Sexualidad y la Prevención y Mitigación de la Violencia Escolar</w:t>
      </w:r>
      <w:r w:rsidR="001A22C7">
        <w:rPr>
          <w:rFonts w:ascii="Bookman Old Style" w:eastAsia="Bookman Old Style" w:hAnsi="Bookman Old Style" w:cs="Bookman Old Style"/>
          <w:sz w:val="26"/>
          <w:szCs w:val="26"/>
        </w:rPr>
        <w:t>, contemplado en la Ley 1620 de 2013 o la norma que la adicione, modifique o sustituya</w:t>
      </w:r>
      <w:r>
        <w:rPr>
          <w:rFonts w:ascii="Bookman Old Style" w:eastAsia="Bookman Old Style" w:hAnsi="Bookman Old Style" w:cs="Bookman Old Style"/>
          <w:sz w:val="26"/>
          <w:szCs w:val="26"/>
        </w:rPr>
        <w:t xml:space="preserve"> y remitir el caso a la Oficina de Control Disciplinario</w:t>
      </w:r>
      <w:r w:rsidR="001A22C7">
        <w:rPr>
          <w:rFonts w:ascii="Bookman Old Style" w:eastAsia="Bookman Old Style" w:hAnsi="Bookman Old Style" w:cs="Bookman Old Style"/>
          <w:sz w:val="26"/>
          <w:szCs w:val="26"/>
        </w:rPr>
        <w:t xml:space="preserve"> y a la Fiscalía </w:t>
      </w:r>
      <w:r w:rsidR="0048054D">
        <w:rPr>
          <w:rFonts w:ascii="Bookman Old Style" w:eastAsia="Bookman Old Style" w:hAnsi="Bookman Old Style" w:cs="Bookman Old Style"/>
          <w:sz w:val="26"/>
          <w:szCs w:val="26"/>
        </w:rPr>
        <w:t>G</w:t>
      </w:r>
      <w:r w:rsidR="001A22C7">
        <w:rPr>
          <w:rFonts w:ascii="Bookman Old Style" w:eastAsia="Bookman Old Style" w:hAnsi="Bookman Old Style" w:cs="Bookman Old Style"/>
          <w:sz w:val="26"/>
          <w:szCs w:val="26"/>
        </w:rPr>
        <w:t>eneral de la Nación</w:t>
      </w:r>
      <w:r>
        <w:rPr>
          <w:rFonts w:ascii="Bookman Old Style" w:eastAsia="Bookman Old Style" w:hAnsi="Bookman Old Style" w:cs="Bookman Old Style"/>
          <w:sz w:val="26"/>
          <w:szCs w:val="26"/>
        </w:rPr>
        <w:t>.</w:t>
      </w:r>
    </w:p>
    <w:p w14:paraId="7CA9C1E3" w14:textId="411ACFE8" w:rsidR="00A75649" w:rsidRDefault="00A75649" w:rsidP="00A75649">
      <w:pPr>
        <w:rPr>
          <w:rFonts w:ascii="Bookman Old Style" w:eastAsia="Bookman Old Style" w:hAnsi="Bookman Old Style" w:cs="Bookman Old Style"/>
          <w:b/>
          <w:sz w:val="26"/>
          <w:szCs w:val="26"/>
        </w:rPr>
      </w:pPr>
    </w:p>
    <w:p w14:paraId="3CA6DD1C" w14:textId="2E27C11A" w:rsidR="001A22C7" w:rsidRPr="001A22C7" w:rsidRDefault="001A22C7" w:rsidP="001A22C7">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PARÁGRAFO. </w:t>
      </w:r>
      <w:r w:rsidRPr="001A22C7">
        <w:rPr>
          <w:rFonts w:ascii="Bookman Old Style" w:eastAsia="Bookman Old Style" w:hAnsi="Bookman Old Style" w:cs="Bookman Old Style"/>
          <w:sz w:val="26"/>
          <w:szCs w:val="26"/>
        </w:rPr>
        <w:t xml:space="preserve">Los establecimientos e instituciones educativas deberán garantizar las medidas que sean necesarias para hacer efectivo el derecho de habeas Data. </w:t>
      </w:r>
    </w:p>
    <w:p w14:paraId="17801E99" w14:textId="77777777" w:rsidR="00A75649" w:rsidRPr="001A22C7" w:rsidRDefault="00A75649" w:rsidP="001A22C7">
      <w:pPr>
        <w:jc w:val="both"/>
        <w:rPr>
          <w:rFonts w:ascii="Bookman Old Style" w:eastAsia="Bookman Old Style" w:hAnsi="Bookman Old Style" w:cs="Bookman Old Style"/>
          <w:sz w:val="26"/>
          <w:szCs w:val="26"/>
        </w:rPr>
      </w:pPr>
    </w:p>
    <w:p w14:paraId="2922943F" w14:textId="44F9E7CE"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4°. Facultades: </w:t>
      </w:r>
      <w:r>
        <w:rPr>
          <w:rFonts w:ascii="Bookman Old Style" w:eastAsia="Bookman Old Style" w:hAnsi="Bookman Old Style" w:cs="Bookman Old Style"/>
          <w:sz w:val="26"/>
          <w:szCs w:val="26"/>
        </w:rPr>
        <w:t>Facúltese a las Secretarías de Educación Departamentales, Distritales o Municipales o a quien haga sus veces, así como al Instituto Colombiano de Bienestar Familiar y en general a toda entidad pública o privada que tenga funcionalmente una relación directa y habitual de interacción con niños, niñas y adolescentes a separar</w:t>
      </w:r>
      <w:r w:rsidR="0094653D" w:rsidRPr="0094653D">
        <w:rPr>
          <w:rFonts w:ascii="Bookman Old Style" w:eastAsia="Bookman Old Style" w:hAnsi="Bookman Old Style" w:cs="Bookman Old Style"/>
          <w:color w:val="FF0000"/>
          <w:sz w:val="26"/>
          <w:szCs w:val="26"/>
        </w:rPr>
        <w:t>,</w:t>
      </w:r>
      <w:r>
        <w:rPr>
          <w:rFonts w:ascii="Bookman Old Style" w:eastAsia="Bookman Old Style" w:hAnsi="Bookman Old Style" w:cs="Bookman Old Style"/>
          <w:sz w:val="26"/>
          <w:szCs w:val="26"/>
        </w:rPr>
        <w:t xml:space="preserve"> trasladar y/o reasignar transitoriamente a otro cargo a aquel servidor público, y/o colaborador que </w:t>
      </w:r>
      <w:r w:rsidR="007A78D9">
        <w:rPr>
          <w:rFonts w:ascii="Bookman Old Style" w:eastAsia="Bookman Old Style" w:hAnsi="Bookman Old Style" w:cs="Bookman Old Style"/>
          <w:sz w:val="26"/>
          <w:szCs w:val="26"/>
        </w:rPr>
        <w:t xml:space="preserve">esté vinculado formalmente dentro de un proceso penal y/o disciplinario en la entidad pública o privada o por presuntos </w:t>
      </w:r>
      <w:r>
        <w:rPr>
          <w:rFonts w:ascii="Bookman Old Style" w:eastAsia="Bookman Old Style" w:hAnsi="Bookman Old Style" w:cs="Bookman Old Style"/>
          <w:sz w:val="26"/>
          <w:szCs w:val="26"/>
        </w:rPr>
        <w:t xml:space="preserve">delitos contra la libertad, integridad y formación sexual </w:t>
      </w:r>
      <w:r w:rsidR="007A78D9">
        <w:rPr>
          <w:rFonts w:ascii="Bookman Old Style" w:eastAsia="Bookman Old Style" w:hAnsi="Bookman Old Style" w:cs="Bookman Old Style"/>
          <w:sz w:val="26"/>
          <w:szCs w:val="26"/>
        </w:rPr>
        <w:t xml:space="preserve">consagrados en el Título IV de la Ley 599 de 2000 o norma que lo modifique o adicione, </w:t>
      </w:r>
      <w:r>
        <w:rPr>
          <w:rFonts w:ascii="Bookman Old Style" w:eastAsia="Bookman Old Style" w:hAnsi="Bookman Old Style" w:cs="Bookman Old Style"/>
          <w:sz w:val="26"/>
          <w:szCs w:val="26"/>
        </w:rPr>
        <w:t xml:space="preserve">en donde la víctima sea menor de 18 años de edad. </w:t>
      </w:r>
    </w:p>
    <w:p w14:paraId="423EB38F" w14:textId="77777777" w:rsidR="006B2875" w:rsidRDefault="006B2875" w:rsidP="00A75649">
      <w:pPr>
        <w:jc w:val="both"/>
        <w:rPr>
          <w:rFonts w:ascii="Bookman Old Style" w:eastAsia="Bookman Old Style" w:hAnsi="Bookman Old Style" w:cs="Bookman Old Style"/>
          <w:sz w:val="26"/>
          <w:szCs w:val="26"/>
        </w:rPr>
      </w:pPr>
    </w:p>
    <w:p w14:paraId="2E9E055C" w14:textId="594907B6" w:rsidR="00A75649" w:rsidRDefault="0094653D" w:rsidP="00A75649">
      <w:pPr>
        <w:jc w:val="both"/>
        <w:rPr>
          <w:rFonts w:ascii="Bookman Old Style" w:eastAsia="Bookman Old Style" w:hAnsi="Bookman Old Style" w:cs="Bookman Old Style"/>
          <w:sz w:val="26"/>
          <w:szCs w:val="26"/>
        </w:rPr>
      </w:pPr>
      <w:r w:rsidRPr="0094653D">
        <w:rPr>
          <w:rFonts w:ascii="Bookman Old Style" w:eastAsia="Bookman Old Style" w:hAnsi="Bookman Old Style" w:cs="Bookman Old Style"/>
          <w:sz w:val="26"/>
          <w:szCs w:val="26"/>
        </w:rPr>
        <w:t xml:space="preserve">En aquellos casos en los que la persona denunciada ostente la calidad de contratista, se procederá a reasignar sus obligaciones </w:t>
      </w:r>
      <w:r w:rsidRPr="0094653D">
        <w:rPr>
          <w:rFonts w:ascii="Bookman Old Style" w:eastAsia="Bookman Old Style" w:hAnsi="Bookman Old Style" w:cs="Bookman Old Style"/>
          <w:sz w:val="26"/>
          <w:szCs w:val="26"/>
        </w:rPr>
        <w:lastRenderedPageBreak/>
        <w:t>contractuales en las cuales no se tenga contacto directo y habitual con los niños, niñas y adolescentes. Las entidades públicas y privadas deberán establecer en el clausulado contractual la posibilidad de realizar modificaciones unilaterales a las obligaciones del contratista cuando se presenten denuncias penales por presuntos delitos contra la libertad, integridad y formación sexuales en donde las víctimas sean menores de 18 años de edad.</w:t>
      </w:r>
    </w:p>
    <w:p w14:paraId="61B9B718" w14:textId="77777777" w:rsidR="006B2875" w:rsidRPr="0094653D" w:rsidRDefault="006B2875" w:rsidP="00A75649">
      <w:pPr>
        <w:jc w:val="both"/>
        <w:rPr>
          <w:rFonts w:ascii="Bookman Old Style" w:eastAsia="Bookman Old Style" w:hAnsi="Bookman Old Style" w:cs="Bookman Old Style"/>
          <w:sz w:val="26"/>
          <w:szCs w:val="26"/>
        </w:rPr>
      </w:pPr>
    </w:p>
    <w:p w14:paraId="7F407768" w14:textId="6DC1FFF6"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Parágrafo 1. </w:t>
      </w:r>
      <w:r>
        <w:rPr>
          <w:rFonts w:ascii="Bookman Old Style" w:eastAsia="Bookman Old Style" w:hAnsi="Bookman Old Style" w:cs="Bookman Old Style"/>
          <w:sz w:val="26"/>
          <w:szCs w:val="26"/>
        </w:rPr>
        <w:t xml:space="preserve">En todo caso, en las entidades del sector público el traslado y </w:t>
      </w:r>
      <w:r w:rsidR="006B2875">
        <w:rPr>
          <w:rFonts w:ascii="Bookman Old Style" w:eastAsia="Bookman Old Style" w:hAnsi="Bookman Old Style" w:cs="Bookman Old Style"/>
          <w:sz w:val="26"/>
          <w:szCs w:val="26"/>
        </w:rPr>
        <w:t xml:space="preserve">la </w:t>
      </w:r>
      <w:r>
        <w:rPr>
          <w:rFonts w:ascii="Bookman Old Style" w:eastAsia="Bookman Old Style" w:hAnsi="Bookman Old Style" w:cs="Bookman Old Style"/>
          <w:sz w:val="26"/>
          <w:szCs w:val="26"/>
        </w:rPr>
        <w:t>reasignación de funciones</w:t>
      </w:r>
      <w:r w:rsidR="006B2875">
        <w:rPr>
          <w:rFonts w:ascii="Bookman Old Style" w:eastAsia="Bookman Old Style" w:hAnsi="Bookman Old Style" w:cs="Bookman Old Style"/>
          <w:sz w:val="26"/>
          <w:szCs w:val="26"/>
        </w:rPr>
        <w:t xml:space="preserve"> y la no prestación temporal del servicio como medida provisional sin afectación de los derechos laborales del respectivo funcionario</w:t>
      </w:r>
      <w:r>
        <w:rPr>
          <w:rFonts w:ascii="Bookman Old Style" w:eastAsia="Bookman Old Style" w:hAnsi="Bookman Old Style" w:cs="Bookman Old Style"/>
          <w:sz w:val="26"/>
          <w:szCs w:val="26"/>
        </w:rPr>
        <w:t xml:space="preserve"> deberá hacerse con la garantía del debido proceso dentro de un proceso disciplinario que se adelantará de oficio, una vez se tenga conocimiento del hecho o de la denuncia presentada. En el caso del sector privado, </w:t>
      </w:r>
      <w:r w:rsidR="006B2875">
        <w:rPr>
          <w:rFonts w:ascii="Bookman Old Style" w:eastAsia="Bookman Old Style" w:hAnsi="Bookman Old Style" w:cs="Bookman Old Style"/>
          <w:sz w:val="26"/>
          <w:szCs w:val="26"/>
        </w:rPr>
        <w:t xml:space="preserve">se dará aplicación al artículo 140 del Código </w:t>
      </w:r>
      <w:r w:rsidR="004304DE">
        <w:rPr>
          <w:rFonts w:ascii="Bookman Old Style" w:eastAsia="Bookman Old Style" w:hAnsi="Bookman Old Style" w:cs="Bookman Old Style"/>
          <w:sz w:val="26"/>
          <w:szCs w:val="26"/>
        </w:rPr>
        <w:t>S</w:t>
      </w:r>
      <w:r w:rsidR="006B2875">
        <w:rPr>
          <w:rFonts w:ascii="Bookman Old Style" w:eastAsia="Bookman Old Style" w:hAnsi="Bookman Old Style" w:cs="Bookman Old Style"/>
          <w:sz w:val="26"/>
          <w:szCs w:val="26"/>
        </w:rPr>
        <w:t xml:space="preserve">ustantivo del Trabajo y </w:t>
      </w:r>
      <w:r>
        <w:rPr>
          <w:rFonts w:ascii="Bookman Old Style" w:eastAsia="Bookman Old Style" w:hAnsi="Bookman Old Style" w:cs="Bookman Old Style"/>
          <w:sz w:val="26"/>
          <w:szCs w:val="26"/>
        </w:rPr>
        <w:t>deberá garantizarse el debido proceso y los derechos laborales.</w:t>
      </w:r>
      <w:r w:rsidR="006B2875">
        <w:rPr>
          <w:rFonts w:ascii="Bookman Old Style" w:eastAsia="Bookman Old Style" w:hAnsi="Bookman Old Style" w:cs="Bookman Old Style"/>
          <w:sz w:val="26"/>
          <w:szCs w:val="26"/>
        </w:rPr>
        <w:t xml:space="preserve"> En el marco de este proceso, deberá garantizarse la no confrontación en</w:t>
      </w:r>
      <w:r w:rsidR="00EE687E">
        <w:rPr>
          <w:rFonts w:ascii="Bookman Old Style" w:eastAsia="Bookman Old Style" w:hAnsi="Bookman Old Style" w:cs="Bookman Old Style"/>
          <w:sz w:val="26"/>
          <w:szCs w:val="26"/>
        </w:rPr>
        <w:t>tre</w:t>
      </w:r>
      <w:r w:rsidR="006B2875">
        <w:rPr>
          <w:rFonts w:ascii="Bookman Old Style" w:eastAsia="Bookman Old Style" w:hAnsi="Bookman Old Style" w:cs="Bookman Old Style"/>
          <w:sz w:val="26"/>
          <w:szCs w:val="26"/>
        </w:rPr>
        <w:t xml:space="preserve"> el </w:t>
      </w:r>
      <w:r w:rsidR="00FB3C27">
        <w:rPr>
          <w:rFonts w:ascii="Bookman Old Style" w:eastAsia="Bookman Old Style" w:hAnsi="Bookman Old Style" w:cs="Bookman Old Style"/>
          <w:sz w:val="26"/>
          <w:szCs w:val="26"/>
        </w:rPr>
        <w:t>presunto victimario y el niño,</w:t>
      </w:r>
      <w:r w:rsidR="006B2875">
        <w:rPr>
          <w:rFonts w:ascii="Bookman Old Style" w:eastAsia="Bookman Old Style" w:hAnsi="Bookman Old Style" w:cs="Bookman Old Style"/>
          <w:sz w:val="26"/>
          <w:szCs w:val="26"/>
        </w:rPr>
        <w:t xml:space="preserve"> </w:t>
      </w:r>
      <w:r w:rsidR="00FB3C27">
        <w:rPr>
          <w:rFonts w:ascii="Bookman Old Style" w:eastAsia="Bookman Old Style" w:hAnsi="Bookman Old Style" w:cs="Bookman Old Style"/>
          <w:sz w:val="26"/>
          <w:szCs w:val="26"/>
        </w:rPr>
        <w:t>n</w:t>
      </w:r>
      <w:r w:rsidR="006B2875">
        <w:rPr>
          <w:rFonts w:ascii="Bookman Old Style" w:eastAsia="Bookman Old Style" w:hAnsi="Bookman Old Style" w:cs="Bookman Old Style"/>
          <w:sz w:val="26"/>
          <w:szCs w:val="26"/>
        </w:rPr>
        <w:t>iña o adolescente y la práctica de pruebas deberá involucrar lo menor posible al menor.</w:t>
      </w:r>
    </w:p>
    <w:p w14:paraId="6731BA94" w14:textId="77777777" w:rsidR="00A75649" w:rsidRDefault="00A75649" w:rsidP="00A75649">
      <w:pPr>
        <w:jc w:val="both"/>
        <w:rPr>
          <w:rFonts w:ascii="Bookman Old Style" w:eastAsia="Bookman Old Style" w:hAnsi="Bookman Old Style" w:cs="Bookman Old Style"/>
          <w:b/>
          <w:sz w:val="26"/>
          <w:szCs w:val="26"/>
        </w:rPr>
      </w:pPr>
    </w:p>
    <w:p w14:paraId="49198B0C" w14:textId="77777777" w:rsidR="00C924C4"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Parágrafo 2.</w:t>
      </w:r>
      <w:r w:rsidRPr="00C924C4">
        <w:rPr>
          <w:rFonts w:ascii="Bookman Old Style" w:eastAsia="Bookman Old Style" w:hAnsi="Bookman Old Style" w:cs="Bookman Old Style"/>
          <w:sz w:val="26"/>
          <w:szCs w:val="26"/>
        </w:rPr>
        <w:t xml:space="preserve"> </w:t>
      </w:r>
      <w:r w:rsidR="00C924C4" w:rsidRPr="00C924C4">
        <w:rPr>
          <w:rFonts w:ascii="Bookman Old Style" w:eastAsia="Bookman Old Style" w:hAnsi="Bookman Old Style" w:cs="Bookman Old Style"/>
          <w:sz w:val="26"/>
          <w:szCs w:val="26"/>
        </w:rPr>
        <w:t>La no prestación temporal del servicio como medida provisi</w:t>
      </w:r>
      <w:r w:rsidR="00C924C4">
        <w:rPr>
          <w:rFonts w:ascii="Bookman Old Style" w:eastAsia="Bookman Old Style" w:hAnsi="Bookman Old Style" w:cs="Bookman Old Style"/>
          <w:sz w:val="26"/>
          <w:szCs w:val="26"/>
        </w:rPr>
        <w:t>o</w:t>
      </w:r>
      <w:r w:rsidR="00C924C4" w:rsidRPr="00C924C4">
        <w:rPr>
          <w:rFonts w:ascii="Bookman Old Style" w:eastAsia="Bookman Old Style" w:hAnsi="Bookman Old Style" w:cs="Bookman Old Style"/>
          <w:sz w:val="26"/>
          <w:szCs w:val="26"/>
        </w:rPr>
        <w:t>nal y la aplicación del Artículo 140 del Código Sustantivo del Trabajo</w:t>
      </w:r>
      <w:r>
        <w:rPr>
          <w:rFonts w:ascii="Bookman Old Style" w:eastAsia="Bookman Old Style" w:hAnsi="Bookman Old Style" w:cs="Bookman Old Style"/>
          <w:sz w:val="26"/>
          <w:szCs w:val="26"/>
        </w:rPr>
        <w:t xml:space="preserve"> del que habla este artículo consiste en apartar temporalmente al investigado de las funciones de contacto directo y habitual con los niños, niñas y adolescentes</w:t>
      </w:r>
      <w:r w:rsidR="00C924C4">
        <w:rPr>
          <w:rFonts w:ascii="Bookman Old Style" w:eastAsia="Bookman Old Style" w:hAnsi="Bookman Old Style" w:cs="Bookman Old Style"/>
          <w:sz w:val="26"/>
          <w:szCs w:val="26"/>
        </w:rPr>
        <w:t>.</w:t>
      </w:r>
    </w:p>
    <w:p w14:paraId="6EDFBA96" w14:textId="77777777" w:rsidR="00C924C4" w:rsidRDefault="00C924C4" w:rsidP="00A75649">
      <w:pPr>
        <w:jc w:val="both"/>
        <w:rPr>
          <w:rFonts w:ascii="Bookman Old Style" w:eastAsia="Bookman Old Style" w:hAnsi="Bookman Old Style" w:cs="Bookman Old Style"/>
          <w:sz w:val="26"/>
          <w:szCs w:val="26"/>
        </w:rPr>
      </w:pPr>
    </w:p>
    <w:p w14:paraId="584F2148" w14:textId="64699DB3" w:rsidR="00C924C4" w:rsidRDefault="00C924C4"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El traslado transitorio, consiste en la reasignación temporal de funciones</w:t>
      </w:r>
      <w:r w:rsidR="00A75649">
        <w:rPr>
          <w:rFonts w:ascii="Bookman Old Style" w:eastAsia="Bookman Old Style" w:hAnsi="Bookman Old Style" w:cs="Bookman Old Style"/>
          <w:sz w:val="26"/>
          <w:szCs w:val="26"/>
        </w:rPr>
        <w:t xml:space="preserve"> en áreas distintas a las mencionadas mientras las autoridades competentes definen de fondo su situación jurídica.</w:t>
      </w:r>
    </w:p>
    <w:p w14:paraId="1E3CE193" w14:textId="77777777" w:rsidR="00C924C4" w:rsidRDefault="00C924C4" w:rsidP="00A75649">
      <w:pPr>
        <w:jc w:val="both"/>
        <w:rPr>
          <w:rFonts w:ascii="Bookman Old Style" w:eastAsia="Bookman Old Style" w:hAnsi="Bookman Old Style" w:cs="Bookman Old Style"/>
          <w:sz w:val="26"/>
          <w:szCs w:val="26"/>
        </w:rPr>
      </w:pPr>
    </w:p>
    <w:p w14:paraId="79CFABE2" w14:textId="784F3224"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ningún caso se podrá desmejorar salarialmente ni reasignar funciones de nivel jerárquico inferior a quien haya sido sujeto de la reasignación de la que habla la presente ley.</w:t>
      </w:r>
    </w:p>
    <w:p w14:paraId="2F02016D" w14:textId="77777777" w:rsidR="00A75649" w:rsidRDefault="00A75649" w:rsidP="00A75649">
      <w:pPr>
        <w:rPr>
          <w:rFonts w:ascii="Bookman Old Style" w:eastAsia="Bookman Old Style" w:hAnsi="Bookman Old Style" w:cs="Bookman Old Style"/>
          <w:b/>
          <w:sz w:val="26"/>
          <w:szCs w:val="26"/>
        </w:rPr>
      </w:pPr>
    </w:p>
    <w:p w14:paraId="7AFD840B" w14:textId="77777777" w:rsidR="00A75649" w:rsidRDefault="00A75649" w:rsidP="00A75649">
      <w:pPr>
        <w:rPr>
          <w:rFonts w:ascii="Bookman Old Style" w:eastAsia="Bookman Old Style" w:hAnsi="Bookman Old Style" w:cs="Bookman Old Style"/>
          <w:b/>
          <w:sz w:val="26"/>
          <w:szCs w:val="26"/>
        </w:rPr>
      </w:pPr>
    </w:p>
    <w:p w14:paraId="6ABF84D7" w14:textId="6AA9659C"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5°. </w:t>
      </w:r>
      <w:r w:rsidR="003E3037">
        <w:rPr>
          <w:rFonts w:ascii="Bookman Old Style" w:eastAsia="Bookman Old Style" w:hAnsi="Bookman Old Style" w:cs="Bookman Old Style"/>
          <w:sz w:val="26"/>
          <w:szCs w:val="26"/>
        </w:rPr>
        <w:t>Superados los motivos que dieron lugar a la medida de aseguramiento, a las medidas preventivas en materia disciplinaria o finalizados los procesos penales y/o disciplinarios con sentencia absolutoria ejecutoriada, el juez de control de garantías o el operador disciplinario competente deberá ordenar de manera inmediata el reintegro del sujeto pasivo de las medidas al cargo que ocupaba antes de surtirse el decreto de éstas. En aquellos casos en los que la persona denunciada ostente la calidad de contratista, se procederá a reevaluar las nuevas obligaciones que le fueron asignadas.</w:t>
      </w:r>
    </w:p>
    <w:p w14:paraId="50582D35" w14:textId="77777777" w:rsidR="00A75649" w:rsidRDefault="00A75649" w:rsidP="00A75649">
      <w:pPr>
        <w:jc w:val="both"/>
        <w:rPr>
          <w:rFonts w:ascii="Bookman Old Style" w:eastAsia="Bookman Old Style" w:hAnsi="Bookman Old Style" w:cs="Bookman Old Style"/>
          <w:sz w:val="26"/>
          <w:szCs w:val="26"/>
        </w:rPr>
      </w:pPr>
    </w:p>
    <w:p w14:paraId="61CB22D1" w14:textId="77777777" w:rsidR="00A75649" w:rsidRDefault="00A75649" w:rsidP="00A75649">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Las instituciones o establecimientos educativos deberán adelantar acciones de seguimiento y evaluación de tipo psicosocial, con el ánimo de valorar sí existe algún tipo de riesgo psicosocial para el niño, niña o adolescente implicado.</w:t>
      </w:r>
    </w:p>
    <w:p w14:paraId="4903A097" w14:textId="6E595395" w:rsidR="00A75649" w:rsidRDefault="00A75649" w:rsidP="00A75649">
      <w:pPr>
        <w:rPr>
          <w:rFonts w:ascii="Bookman Old Style" w:eastAsia="Bookman Old Style" w:hAnsi="Bookman Old Style" w:cs="Bookman Old Style"/>
          <w:b/>
          <w:sz w:val="26"/>
          <w:szCs w:val="26"/>
        </w:rPr>
      </w:pPr>
    </w:p>
    <w:p w14:paraId="73E8720A" w14:textId="05D07E01" w:rsidR="00D16BEB" w:rsidRPr="00D55310" w:rsidRDefault="00D16BEB" w:rsidP="00460471">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6°. </w:t>
      </w:r>
      <w:r w:rsidRPr="00D55310">
        <w:rPr>
          <w:rFonts w:ascii="Bookman Old Style" w:eastAsia="Bookman Old Style" w:hAnsi="Bookman Old Style" w:cs="Bookman Old Style"/>
          <w:sz w:val="26"/>
          <w:szCs w:val="26"/>
        </w:rPr>
        <w:t>Adiciónese el Artículo 219</w:t>
      </w:r>
      <w:r w:rsidR="00127B76">
        <w:rPr>
          <w:rFonts w:ascii="Bookman Old Style" w:eastAsia="Bookman Old Style" w:hAnsi="Bookman Old Style" w:cs="Bookman Old Style"/>
          <w:sz w:val="26"/>
          <w:szCs w:val="26"/>
        </w:rPr>
        <w:t>A</w:t>
      </w:r>
      <w:r w:rsidR="00224D25">
        <w:rPr>
          <w:rFonts w:ascii="Bookman Old Style" w:eastAsia="Bookman Old Style" w:hAnsi="Bookman Old Style" w:cs="Bookman Old Style"/>
          <w:sz w:val="26"/>
          <w:szCs w:val="26"/>
        </w:rPr>
        <w:t xml:space="preserve">                                                                                                                                                       </w:t>
      </w:r>
      <w:r w:rsidRPr="00D55310">
        <w:rPr>
          <w:rFonts w:ascii="Bookman Old Style" w:eastAsia="Bookman Old Style" w:hAnsi="Bookman Old Style" w:cs="Bookman Old Style"/>
          <w:sz w:val="26"/>
          <w:szCs w:val="26"/>
        </w:rPr>
        <w:t xml:space="preserve"> a la Ley 1952 de 2019, así:</w:t>
      </w:r>
    </w:p>
    <w:p w14:paraId="5DAF8C71" w14:textId="458733E1" w:rsidR="00D16BEB" w:rsidRDefault="00D16BEB" w:rsidP="00A75649">
      <w:pPr>
        <w:rPr>
          <w:rFonts w:ascii="Bookman Old Style" w:eastAsia="Bookman Old Style" w:hAnsi="Bookman Old Style" w:cs="Bookman Old Style"/>
          <w:b/>
          <w:sz w:val="26"/>
          <w:szCs w:val="26"/>
        </w:rPr>
      </w:pPr>
    </w:p>
    <w:p w14:paraId="6EDE0D43" w14:textId="3F06861B" w:rsidR="00D16BEB" w:rsidRDefault="00D16BEB" w:rsidP="00D16BEB">
      <w:pPr>
        <w:jc w:val="both"/>
        <w:rPr>
          <w:rFonts w:ascii="Bookman Old Style" w:eastAsia="Bookman Old Style" w:hAnsi="Bookman Old Style" w:cs="Bookman Old Style"/>
          <w:sz w:val="26"/>
          <w:szCs w:val="26"/>
        </w:rPr>
      </w:pPr>
      <w:r>
        <w:rPr>
          <w:rFonts w:ascii="Bookman Old Style" w:eastAsia="Bookman Old Style" w:hAnsi="Bookman Old Style" w:cs="Bookman Old Style"/>
          <w:b/>
          <w:sz w:val="26"/>
          <w:szCs w:val="26"/>
        </w:rPr>
        <w:t xml:space="preserve">ARTÍCULO 219ª. MEDIDAS PREVENTIVAS PARA LA PROTECCIÓN DE LA INTEGRIDAD, LIBERTAD Y FORMACIÓN SEXUAL DE NIÑOS, NIÑAS Y ADOLESCENTES. </w:t>
      </w:r>
      <w:r w:rsidR="004C7C5F">
        <w:rPr>
          <w:rFonts w:ascii="Bookman Old Style" w:eastAsia="Bookman Old Style" w:hAnsi="Bookman Old Style" w:cs="Bookman Old Style"/>
          <w:sz w:val="26"/>
          <w:szCs w:val="26"/>
        </w:rPr>
        <w:t>Cuando se adelanten diligencias disciplinarias contra servidor público y/o colaborador que tenga funcionalmente una relación directa y habitual de interacción con niños, niñas y adolescentes, se podrá por el órgano disciplinario competente decretar la medida preventiva de separar, trasladar y</w:t>
      </w:r>
      <w:r w:rsidR="008174C5">
        <w:rPr>
          <w:rFonts w:ascii="Bookman Old Style" w:eastAsia="Bookman Old Style" w:hAnsi="Bookman Old Style" w:cs="Bookman Old Style"/>
          <w:sz w:val="26"/>
          <w:szCs w:val="26"/>
        </w:rPr>
        <w:t>/</w:t>
      </w:r>
      <w:r w:rsidR="004C7C5F">
        <w:rPr>
          <w:rFonts w:ascii="Bookman Old Style" w:eastAsia="Bookman Old Style" w:hAnsi="Bookman Old Style" w:cs="Bookman Old Style"/>
          <w:sz w:val="26"/>
          <w:szCs w:val="26"/>
        </w:rPr>
        <w:t>o reasignar transitoriamente a otro cargo a aquel servidor público y/</w:t>
      </w:r>
      <w:r w:rsidR="008174C5">
        <w:rPr>
          <w:rFonts w:ascii="Bookman Old Style" w:eastAsia="Bookman Old Style" w:hAnsi="Bookman Old Style" w:cs="Bookman Old Style"/>
          <w:sz w:val="26"/>
          <w:szCs w:val="26"/>
        </w:rPr>
        <w:t>o</w:t>
      </w:r>
      <w:r w:rsidR="004C7C5F">
        <w:rPr>
          <w:rFonts w:ascii="Bookman Old Style" w:eastAsia="Bookman Old Style" w:hAnsi="Bookman Old Style" w:cs="Bookman Old Style"/>
          <w:sz w:val="26"/>
          <w:szCs w:val="26"/>
        </w:rPr>
        <w:t xml:space="preserve"> colaborador que haya sido denunciado(a) penalmente por delitos contra la libertad, integridad y formación sexual en donde la víctima sea menor de 18 años de edad. </w:t>
      </w:r>
    </w:p>
    <w:p w14:paraId="13E4250F" w14:textId="32A1FCDB" w:rsidR="004C7C5F" w:rsidRDefault="004C7C5F" w:rsidP="00D16BEB">
      <w:pPr>
        <w:jc w:val="both"/>
        <w:rPr>
          <w:rFonts w:ascii="Bookman Old Style" w:eastAsia="Bookman Old Style" w:hAnsi="Bookman Old Style" w:cs="Bookman Old Style"/>
          <w:sz w:val="26"/>
          <w:szCs w:val="26"/>
        </w:rPr>
      </w:pPr>
    </w:p>
    <w:p w14:paraId="0B6E32E8" w14:textId="35B926EF" w:rsidR="004C7C5F" w:rsidRDefault="004C7C5F" w:rsidP="00D16BEB">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 xml:space="preserve">La separación del cargo o el traslado transitorio del que habla este artículo consiste en apartar temporalmente al investigado de las funciones de contacto directo y habitual con los niños, niñas y </w:t>
      </w:r>
      <w:r>
        <w:rPr>
          <w:rFonts w:ascii="Bookman Old Style" w:eastAsia="Bookman Old Style" w:hAnsi="Bookman Old Style" w:cs="Bookman Old Style"/>
          <w:sz w:val="26"/>
          <w:szCs w:val="26"/>
        </w:rPr>
        <w:lastRenderedPageBreak/>
        <w:t>adolescentes y reasignar sus funciones en áreas distintas a las mencionadas mientras se define de fondo su situación jurídica.</w:t>
      </w:r>
    </w:p>
    <w:p w14:paraId="1B1770CC" w14:textId="63E25EC6" w:rsidR="004C7C5F" w:rsidRDefault="004C7C5F" w:rsidP="00D16BEB">
      <w:pPr>
        <w:jc w:val="both"/>
        <w:rPr>
          <w:rFonts w:ascii="Bookman Old Style" w:eastAsia="Bookman Old Style" w:hAnsi="Bookman Old Style" w:cs="Bookman Old Style"/>
          <w:sz w:val="26"/>
          <w:szCs w:val="26"/>
        </w:rPr>
      </w:pPr>
    </w:p>
    <w:p w14:paraId="7E5AAC24" w14:textId="40D9864C" w:rsidR="004C7C5F" w:rsidRPr="004C7C5F" w:rsidRDefault="004C7C5F" w:rsidP="00D16BEB">
      <w:pPr>
        <w:jc w:val="both"/>
        <w:rPr>
          <w:rFonts w:ascii="Bookman Old Style" w:eastAsia="Bookman Old Style" w:hAnsi="Bookman Old Style" w:cs="Bookman Old Style"/>
          <w:sz w:val="26"/>
          <w:szCs w:val="26"/>
        </w:rPr>
      </w:pPr>
      <w:r>
        <w:rPr>
          <w:rFonts w:ascii="Bookman Old Style" w:eastAsia="Bookman Old Style" w:hAnsi="Bookman Old Style" w:cs="Bookman Old Style"/>
          <w:sz w:val="26"/>
          <w:szCs w:val="26"/>
        </w:rPr>
        <w:t>En ningún caso se podrá desmejorar salarialmente ni reasignar funciones de nivel jerárquico inferior a quien haya sido sujeto de la reasignación de la que habla la presente ley.</w:t>
      </w:r>
    </w:p>
    <w:p w14:paraId="2B349394" w14:textId="77777777" w:rsidR="00A75649" w:rsidRDefault="00A75649" w:rsidP="00D16BEB">
      <w:pPr>
        <w:jc w:val="both"/>
        <w:rPr>
          <w:rFonts w:ascii="Bookman Old Style" w:eastAsia="Bookman Old Style" w:hAnsi="Bookman Old Style" w:cs="Bookman Old Style"/>
          <w:b/>
          <w:sz w:val="26"/>
          <w:szCs w:val="26"/>
        </w:rPr>
      </w:pPr>
    </w:p>
    <w:p w14:paraId="1B0E5CA0" w14:textId="4D7CEBDE" w:rsidR="00A75649" w:rsidRDefault="00D16BEB" w:rsidP="00A75649">
      <w:pPr>
        <w:jc w:val="both"/>
        <w:rPr>
          <w:rFonts w:ascii="Bookman Old Style" w:eastAsia="Bookman Old Style" w:hAnsi="Bookman Old Style" w:cs="Bookman Old Style"/>
          <w:b/>
          <w:sz w:val="26"/>
          <w:szCs w:val="26"/>
        </w:rPr>
      </w:pPr>
      <w:r>
        <w:rPr>
          <w:rFonts w:ascii="Bookman Old Style" w:eastAsia="Bookman Old Style" w:hAnsi="Bookman Old Style" w:cs="Bookman Old Style"/>
          <w:b/>
          <w:sz w:val="26"/>
          <w:szCs w:val="26"/>
        </w:rPr>
        <w:t>ARTÍCULO 7</w:t>
      </w:r>
      <w:r w:rsidR="00A75649">
        <w:rPr>
          <w:rFonts w:ascii="Bookman Old Style" w:eastAsia="Bookman Old Style" w:hAnsi="Bookman Old Style" w:cs="Bookman Old Style"/>
          <w:b/>
          <w:sz w:val="26"/>
          <w:szCs w:val="26"/>
        </w:rPr>
        <w:t xml:space="preserve">°. Vigencia: </w:t>
      </w:r>
      <w:r w:rsidR="00A75649">
        <w:rPr>
          <w:rFonts w:ascii="Bookman Old Style" w:eastAsia="Bookman Old Style" w:hAnsi="Bookman Old Style" w:cs="Bookman Old Style"/>
          <w:sz w:val="26"/>
          <w:szCs w:val="26"/>
        </w:rPr>
        <w:t>La presente ley rige a partir de la fecha de su publicación y deroga todas las normas de igual o menor rango que le sean contrarias.</w:t>
      </w:r>
    </w:p>
    <w:p w14:paraId="4CB49562" w14:textId="160AAF7E" w:rsidR="00F226A2" w:rsidRPr="00BA4489" w:rsidRDefault="00F226A2" w:rsidP="00F226A2">
      <w:pPr>
        <w:spacing w:after="0" w:line="240" w:lineRule="auto"/>
        <w:jc w:val="center"/>
        <w:rPr>
          <w:rFonts w:ascii="Bookman Old Style" w:hAnsi="Bookman Old Style" w:cstheme="minorHAnsi"/>
          <w:b/>
          <w:sz w:val="24"/>
          <w:szCs w:val="24"/>
        </w:rPr>
      </w:pPr>
    </w:p>
    <w:p w14:paraId="32FB34FD" w14:textId="69F44751" w:rsidR="00F226A2" w:rsidRPr="00BA4489" w:rsidRDefault="00F226A2" w:rsidP="00F226A2">
      <w:pPr>
        <w:spacing w:after="0" w:line="240" w:lineRule="auto"/>
        <w:jc w:val="center"/>
        <w:rPr>
          <w:rFonts w:ascii="Bookman Old Style" w:hAnsi="Bookman Old Style" w:cstheme="minorHAnsi"/>
          <w:b/>
          <w:sz w:val="24"/>
          <w:szCs w:val="24"/>
        </w:rPr>
      </w:pPr>
    </w:p>
    <w:p w14:paraId="1CB46DBF" w14:textId="330AEA7C" w:rsidR="00285A3E" w:rsidRPr="00BA4489" w:rsidRDefault="00986F37" w:rsidP="00285A3E">
      <w:pPr>
        <w:jc w:val="both"/>
        <w:rPr>
          <w:rFonts w:ascii="Bookman Old Style" w:hAnsi="Bookman Old Style" w:cs="Calibri"/>
          <w:sz w:val="24"/>
          <w:szCs w:val="24"/>
          <w:lang w:val="es-ES" w:eastAsia="es-ES"/>
        </w:rPr>
      </w:pPr>
      <w:r w:rsidRPr="00BA4489">
        <w:rPr>
          <w:rFonts w:ascii="Bookman Old Style" w:hAnsi="Bookman Old Style" w:cs="Calibri"/>
          <w:sz w:val="24"/>
          <w:szCs w:val="24"/>
        </w:rPr>
        <w:t>E</w:t>
      </w:r>
      <w:r w:rsidR="00285A3E" w:rsidRPr="00BA4489">
        <w:rPr>
          <w:rFonts w:ascii="Bookman Old Style" w:hAnsi="Bookman Old Style" w:cs="Calibri"/>
          <w:sz w:val="24"/>
          <w:szCs w:val="24"/>
        </w:rPr>
        <w:t>n</w:t>
      </w:r>
      <w:r w:rsidR="00285A3E" w:rsidRPr="00BA4489">
        <w:rPr>
          <w:rFonts w:ascii="Bookman Old Style" w:hAnsi="Bookman Old Style" w:cs="Calibri"/>
          <w:sz w:val="24"/>
          <w:szCs w:val="24"/>
          <w:lang w:val="es-ES" w:eastAsia="es-ES"/>
        </w:rPr>
        <w:t xml:space="preserve"> los anteriores términos fue aprobado con modificaciones el presente Proyecto de</w:t>
      </w:r>
      <w:r w:rsidR="00FD20B5" w:rsidRPr="00BA4489">
        <w:rPr>
          <w:rFonts w:ascii="Bookman Old Style" w:hAnsi="Bookman Old Style" w:cs="Calibri"/>
          <w:sz w:val="24"/>
          <w:szCs w:val="24"/>
          <w:lang w:val="es-ES" w:eastAsia="es-ES"/>
        </w:rPr>
        <w:t xml:space="preserve"> Ley según consta en Acta</w:t>
      </w:r>
      <w:r w:rsidR="00F226A2" w:rsidRPr="00BA4489">
        <w:rPr>
          <w:rFonts w:ascii="Bookman Old Style" w:hAnsi="Bookman Old Style" w:cs="Calibri"/>
          <w:sz w:val="24"/>
          <w:szCs w:val="24"/>
          <w:lang w:val="es-ES" w:eastAsia="es-ES"/>
        </w:rPr>
        <w:t>s</w:t>
      </w:r>
      <w:r w:rsidR="00FD20B5" w:rsidRPr="00BA4489">
        <w:rPr>
          <w:rFonts w:ascii="Bookman Old Style" w:hAnsi="Bookman Old Style" w:cs="Calibri"/>
          <w:sz w:val="24"/>
          <w:szCs w:val="24"/>
          <w:lang w:val="es-ES" w:eastAsia="es-ES"/>
        </w:rPr>
        <w:t xml:space="preserve"> No. 3</w:t>
      </w:r>
      <w:r w:rsidR="00F226A2" w:rsidRPr="00BA4489">
        <w:rPr>
          <w:rFonts w:ascii="Bookman Old Style" w:hAnsi="Bookman Old Style" w:cs="Calibri"/>
          <w:sz w:val="24"/>
          <w:szCs w:val="24"/>
          <w:lang w:val="es-ES" w:eastAsia="es-ES"/>
        </w:rPr>
        <w:t>7</w:t>
      </w:r>
      <w:r w:rsidR="00285A3E" w:rsidRPr="00BA4489">
        <w:rPr>
          <w:rFonts w:ascii="Bookman Old Style" w:hAnsi="Bookman Old Style" w:cs="Calibri"/>
          <w:sz w:val="24"/>
          <w:szCs w:val="24"/>
          <w:lang w:val="es-ES" w:eastAsia="es-ES"/>
        </w:rPr>
        <w:t xml:space="preserve"> de Sesión de </w:t>
      </w:r>
      <w:r w:rsidR="00FD20B5" w:rsidRPr="00BA4489">
        <w:rPr>
          <w:rFonts w:ascii="Bookman Old Style" w:hAnsi="Bookman Old Style" w:cs="Calibri"/>
          <w:sz w:val="24"/>
          <w:szCs w:val="24"/>
          <w:lang w:val="es-ES" w:eastAsia="es-ES"/>
        </w:rPr>
        <w:t>Marzo 0</w:t>
      </w:r>
      <w:r w:rsidR="00F226A2" w:rsidRPr="00BA4489">
        <w:rPr>
          <w:rFonts w:ascii="Bookman Old Style" w:hAnsi="Bookman Old Style" w:cs="Calibri"/>
          <w:sz w:val="24"/>
          <w:szCs w:val="24"/>
          <w:lang w:val="es-ES" w:eastAsia="es-ES"/>
        </w:rPr>
        <w:t>6</w:t>
      </w:r>
      <w:r w:rsidR="00285A3E" w:rsidRPr="00BA4489">
        <w:rPr>
          <w:rFonts w:ascii="Bookman Old Style" w:hAnsi="Bookman Old Style" w:cs="Calibri"/>
          <w:sz w:val="24"/>
          <w:szCs w:val="24"/>
          <w:lang w:val="es-ES" w:eastAsia="es-ES"/>
        </w:rPr>
        <w:t xml:space="preserve"> de 2024</w:t>
      </w:r>
      <w:r w:rsidR="00F226A2" w:rsidRPr="00BA4489">
        <w:rPr>
          <w:rFonts w:ascii="Bookman Old Style" w:hAnsi="Bookman Old Style" w:cs="Calibri"/>
          <w:sz w:val="24"/>
          <w:szCs w:val="24"/>
          <w:lang w:val="es-ES" w:eastAsia="es-ES"/>
        </w:rPr>
        <w:t xml:space="preserve"> y Acta No. 39 de Sesión de Marzo 13 de 2024</w:t>
      </w:r>
      <w:r w:rsidR="00285A3E" w:rsidRPr="00BA4489">
        <w:rPr>
          <w:rFonts w:ascii="Bookman Old Style" w:hAnsi="Bookman Old Style" w:cs="Calibri"/>
          <w:sz w:val="24"/>
          <w:szCs w:val="24"/>
          <w:lang w:val="es-ES" w:eastAsia="es-ES"/>
        </w:rPr>
        <w:t xml:space="preserve">. Anunciado entre otras fechas el </w:t>
      </w:r>
      <w:r w:rsidR="00F226A2" w:rsidRPr="00BA4489">
        <w:rPr>
          <w:rFonts w:ascii="Bookman Old Style" w:hAnsi="Bookman Old Style" w:cs="Calibri"/>
          <w:sz w:val="24"/>
          <w:szCs w:val="24"/>
          <w:lang w:val="es-ES" w:eastAsia="es-ES"/>
        </w:rPr>
        <w:t>05</w:t>
      </w:r>
      <w:r w:rsidR="00285A3E" w:rsidRPr="00BA4489">
        <w:rPr>
          <w:rFonts w:ascii="Bookman Old Style" w:hAnsi="Bookman Old Style" w:cs="Calibri"/>
          <w:sz w:val="24"/>
          <w:szCs w:val="24"/>
          <w:lang w:val="es-ES" w:eastAsia="es-ES"/>
        </w:rPr>
        <w:t xml:space="preserve"> de </w:t>
      </w:r>
      <w:r w:rsidR="00F226A2" w:rsidRPr="00BA4489">
        <w:rPr>
          <w:rFonts w:ascii="Bookman Old Style" w:hAnsi="Bookman Old Style" w:cs="Calibri"/>
          <w:sz w:val="24"/>
          <w:szCs w:val="24"/>
          <w:lang w:val="es-ES" w:eastAsia="es-ES"/>
        </w:rPr>
        <w:t xml:space="preserve">Marzo </w:t>
      </w:r>
      <w:r w:rsidR="00285A3E" w:rsidRPr="00BA4489">
        <w:rPr>
          <w:rFonts w:ascii="Bookman Old Style" w:hAnsi="Bookman Old Style" w:cs="Calibri"/>
          <w:sz w:val="24"/>
          <w:szCs w:val="24"/>
          <w:lang w:val="es-ES" w:eastAsia="es-ES"/>
        </w:rPr>
        <w:t xml:space="preserve">de </w:t>
      </w:r>
      <w:r w:rsidRPr="00BA4489">
        <w:rPr>
          <w:rFonts w:ascii="Bookman Old Style" w:hAnsi="Bookman Old Style" w:cs="Calibri"/>
          <w:sz w:val="24"/>
          <w:szCs w:val="24"/>
          <w:lang w:val="es-ES" w:eastAsia="es-ES"/>
        </w:rPr>
        <w:t>2024 según consta en Acta No. 3</w:t>
      </w:r>
      <w:r w:rsidR="00F226A2" w:rsidRPr="00BA4489">
        <w:rPr>
          <w:rFonts w:ascii="Bookman Old Style" w:hAnsi="Bookman Old Style" w:cs="Calibri"/>
          <w:sz w:val="24"/>
          <w:szCs w:val="24"/>
          <w:lang w:val="es-ES" w:eastAsia="es-ES"/>
        </w:rPr>
        <w:t>6 y el 07 de Marzo de 2024 según consta en Acta No. 38</w:t>
      </w:r>
      <w:r w:rsidR="00285A3E" w:rsidRPr="00BA4489">
        <w:rPr>
          <w:rFonts w:ascii="Bookman Old Style" w:hAnsi="Bookman Old Style" w:cs="Calibri"/>
          <w:sz w:val="24"/>
          <w:szCs w:val="24"/>
          <w:lang w:val="es-ES" w:eastAsia="es-ES"/>
        </w:rPr>
        <w:t>.</w:t>
      </w:r>
    </w:p>
    <w:p w14:paraId="2FC3C953" w14:textId="67004897" w:rsidR="00285A3E" w:rsidRDefault="00285A3E" w:rsidP="00285A3E">
      <w:pPr>
        <w:spacing w:after="0" w:line="240" w:lineRule="auto"/>
        <w:jc w:val="both"/>
        <w:rPr>
          <w:rFonts w:ascii="Bookman Old Style" w:eastAsia="Times New Roman" w:hAnsi="Bookman Old Style" w:cs="Calibri"/>
          <w:b/>
          <w:sz w:val="24"/>
          <w:szCs w:val="24"/>
          <w:lang w:eastAsia="es-CO"/>
        </w:rPr>
      </w:pPr>
    </w:p>
    <w:p w14:paraId="10EDA6AB" w14:textId="1FCB9A3F" w:rsidR="00363364" w:rsidRDefault="00363364" w:rsidP="00285A3E">
      <w:pPr>
        <w:spacing w:after="0" w:line="240" w:lineRule="auto"/>
        <w:jc w:val="both"/>
        <w:rPr>
          <w:rFonts w:ascii="Bookman Old Style" w:eastAsia="Times New Roman" w:hAnsi="Bookman Old Style" w:cs="Calibri"/>
          <w:b/>
          <w:sz w:val="24"/>
          <w:szCs w:val="24"/>
          <w:lang w:eastAsia="es-CO"/>
        </w:rPr>
      </w:pPr>
    </w:p>
    <w:p w14:paraId="60E914A3" w14:textId="77777777" w:rsidR="00363364" w:rsidRPr="00BA4489" w:rsidRDefault="00363364" w:rsidP="00285A3E">
      <w:pPr>
        <w:spacing w:after="0" w:line="240" w:lineRule="auto"/>
        <w:jc w:val="both"/>
        <w:rPr>
          <w:rFonts w:ascii="Bookman Old Style" w:eastAsia="Times New Roman" w:hAnsi="Bookman Old Style" w:cs="Calibri"/>
          <w:b/>
          <w:sz w:val="24"/>
          <w:szCs w:val="24"/>
          <w:lang w:eastAsia="es-CO"/>
        </w:rPr>
      </w:pPr>
    </w:p>
    <w:p w14:paraId="0A546DB9" w14:textId="77777777" w:rsidR="00363364" w:rsidRDefault="00363364" w:rsidP="00285A3E">
      <w:pPr>
        <w:spacing w:after="0" w:line="240" w:lineRule="auto"/>
        <w:jc w:val="both"/>
        <w:rPr>
          <w:rFonts w:ascii="Bookman Old Style" w:eastAsia="Times New Roman" w:hAnsi="Bookman Old Style" w:cs="Calibri"/>
          <w:b/>
          <w:lang w:eastAsia="es-CO"/>
        </w:rPr>
      </w:pPr>
    </w:p>
    <w:p w14:paraId="4D2C85C2" w14:textId="77777777" w:rsidR="00363364" w:rsidRDefault="00363364" w:rsidP="00285A3E">
      <w:pPr>
        <w:spacing w:after="0" w:line="240" w:lineRule="auto"/>
        <w:jc w:val="both"/>
        <w:rPr>
          <w:rFonts w:ascii="Bookman Old Style" w:eastAsia="Times New Roman" w:hAnsi="Bookman Old Style" w:cs="Calibri"/>
          <w:b/>
          <w:lang w:eastAsia="es-CO"/>
        </w:rPr>
      </w:pPr>
    </w:p>
    <w:p w14:paraId="21719981" w14:textId="7C57BE4D" w:rsidR="00285A3E" w:rsidRPr="00986F37" w:rsidRDefault="000F02AA" w:rsidP="00285A3E">
      <w:pPr>
        <w:spacing w:after="0" w:line="240" w:lineRule="auto"/>
        <w:jc w:val="both"/>
        <w:rPr>
          <w:rFonts w:ascii="Bookman Old Style" w:eastAsia="Times New Roman" w:hAnsi="Bookman Old Style" w:cs="Calibri"/>
          <w:b/>
          <w:lang w:eastAsia="es-CO"/>
        </w:rPr>
      </w:pPr>
      <w:r>
        <w:rPr>
          <w:rFonts w:ascii="Bookman Old Style" w:eastAsia="Times New Roman" w:hAnsi="Bookman Old Style" w:cs="Calibri"/>
          <w:b/>
          <w:lang w:eastAsia="es-CO"/>
        </w:rPr>
        <w:t>JORGE ELIECER TAMAYO MARULANDA</w:t>
      </w:r>
      <w:r w:rsidR="00285A3E" w:rsidRPr="00986F37">
        <w:rPr>
          <w:rFonts w:ascii="Bookman Old Style" w:eastAsia="Times New Roman" w:hAnsi="Bookman Old Style" w:cs="Calibri"/>
          <w:b/>
          <w:lang w:eastAsia="es-CO"/>
        </w:rPr>
        <w:t xml:space="preserve">      </w:t>
      </w:r>
      <w:r w:rsidR="00986F37" w:rsidRPr="00986F37">
        <w:rPr>
          <w:rFonts w:ascii="Bookman Old Style" w:eastAsia="Times New Roman" w:hAnsi="Bookman Old Style" w:cs="Calibri"/>
          <w:b/>
          <w:lang w:eastAsia="es-CO"/>
        </w:rPr>
        <w:t>ÓSCA</w:t>
      </w:r>
      <w:r w:rsidR="00285A3E" w:rsidRPr="00986F37">
        <w:rPr>
          <w:rFonts w:ascii="Bookman Old Style" w:eastAsia="Times New Roman" w:hAnsi="Bookman Old Style" w:cs="Calibri"/>
          <w:b/>
          <w:lang w:eastAsia="es-CO"/>
        </w:rPr>
        <w:t>R HERNÁN SÁNCHEZ LEÓN</w:t>
      </w:r>
    </w:p>
    <w:p w14:paraId="1E1AAA61" w14:textId="1BF3329E" w:rsidR="00285A3E" w:rsidRPr="00986F37" w:rsidRDefault="00285A3E" w:rsidP="00285A3E">
      <w:pPr>
        <w:spacing w:after="0" w:line="240" w:lineRule="auto"/>
        <w:jc w:val="both"/>
        <w:rPr>
          <w:rFonts w:ascii="Bookman Old Style" w:eastAsia="Times New Roman" w:hAnsi="Bookman Old Style" w:cs="Calibri"/>
          <w:lang w:eastAsia="es-CO"/>
        </w:rPr>
      </w:pPr>
      <w:r w:rsidRPr="00986F37">
        <w:rPr>
          <w:rFonts w:ascii="Bookman Old Style" w:eastAsia="Times New Roman" w:hAnsi="Bookman Old Style" w:cs="Calibri"/>
          <w:lang w:eastAsia="es-CO"/>
        </w:rPr>
        <w:t>Ponente Coordinador</w:t>
      </w:r>
      <w:r w:rsidRPr="00986F37">
        <w:rPr>
          <w:rFonts w:ascii="Bookman Old Style" w:eastAsia="Times New Roman" w:hAnsi="Bookman Old Style" w:cs="Calibri"/>
          <w:lang w:eastAsia="es-CO"/>
        </w:rPr>
        <w:tab/>
      </w:r>
      <w:r w:rsidRPr="00986F37">
        <w:rPr>
          <w:rFonts w:ascii="Bookman Old Style" w:eastAsia="Times New Roman" w:hAnsi="Bookman Old Style" w:cs="Calibri"/>
          <w:lang w:eastAsia="es-CO"/>
        </w:rPr>
        <w:tab/>
        <w:t xml:space="preserve">            </w:t>
      </w:r>
      <w:r w:rsidR="00695E4F" w:rsidRPr="00986F37">
        <w:rPr>
          <w:rFonts w:ascii="Bookman Old Style" w:eastAsia="Times New Roman" w:hAnsi="Bookman Old Style" w:cs="Calibri"/>
          <w:lang w:eastAsia="es-CO"/>
        </w:rPr>
        <w:tab/>
      </w:r>
      <w:r w:rsidR="00986F37">
        <w:rPr>
          <w:rFonts w:ascii="Bookman Old Style" w:eastAsia="Times New Roman" w:hAnsi="Bookman Old Style" w:cs="Calibri"/>
          <w:lang w:eastAsia="es-CO"/>
        </w:rPr>
        <w:t xml:space="preserve"> P</w:t>
      </w:r>
      <w:r w:rsidRPr="00986F37">
        <w:rPr>
          <w:rFonts w:ascii="Bookman Old Style" w:eastAsia="Times New Roman" w:hAnsi="Bookman Old Style" w:cs="Calibri"/>
          <w:lang w:eastAsia="es-CO"/>
        </w:rPr>
        <w:t>residente</w:t>
      </w:r>
    </w:p>
    <w:p w14:paraId="00070DC7" w14:textId="77777777" w:rsidR="00285A3E" w:rsidRPr="00986F37" w:rsidRDefault="00285A3E" w:rsidP="00285A3E">
      <w:pPr>
        <w:spacing w:after="0" w:line="240" w:lineRule="auto"/>
        <w:jc w:val="both"/>
        <w:rPr>
          <w:rFonts w:ascii="Bookman Old Style" w:eastAsia="Times New Roman" w:hAnsi="Bookman Old Style" w:cs="Calibri"/>
          <w:b/>
          <w:lang w:eastAsia="es-CO"/>
        </w:rPr>
      </w:pPr>
    </w:p>
    <w:p w14:paraId="6BBB6B6F" w14:textId="718B4C79" w:rsidR="00B1193E" w:rsidRDefault="00B1193E" w:rsidP="00285A3E">
      <w:pPr>
        <w:spacing w:after="0" w:line="240" w:lineRule="auto"/>
        <w:jc w:val="both"/>
        <w:rPr>
          <w:rFonts w:ascii="Bookman Old Style" w:eastAsia="Times New Roman" w:hAnsi="Bookman Old Style" w:cs="Calibri"/>
          <w:b/>
          <w:lang w:eastAsia="es-CO"/>
        </w:rPr>
      </w:pPr>
    </w:p>
    <w:p w14:paraId="0801B686" w14:textId="06B5B8A1" w:rsidR="00363364" w:rsidRDefault="00363364" w:rsidP="00285A3E">
      <w:pPr>
        <w:spacing w:after="0" w:line="240" w:lineRule="auto"/>
        <w:jc w:val="both"/>
        <w:rPr>
          <w:rFonts w:ascii="Bookman Old Style" w:eastAsia="Times New Roman" w:hAnsi="Bookman Old Style" w:cs="Calibri"/>
          <w:b/>
          <w:lang w:eastAsia="es-CO"/>
        </w:rPr>
      </w:pPr>
    </w:p>
    <w:p w14:paraId="0478BE2D" w14:textId="77777777" w:rsidR="00363364" w:rsidRPr="00986F37" w:rsidRDefault="00363364" w:rsidP="00285A3E">
      <w:pPr>
        <w:spacing w:after="0" w:line="240" w:lineRule="auto"/>
        <w:jc w:val="both"/>
        <w:rPr>
          <w:rFonts w:ascii="Bookman Old Style" w:eastAsia="Times New Roman" w:hAnsi="Bookman Old Style" w:cs="Calibri"/>
          <w:b/>
          <w:lang w:eastAsia="es-CO"/>
        </w:rPr>
      </w:pPr>
    </w:p>
    <w:p w14:paraId="073A24BC" w14:textId="3448E664" w:rsidR="00285A3E" w:rsidRPr="00986F37" w:rsidRDefault="00285A3E" w:rsidP="00285A3E">
      <w:pPr>
        <w:spacing w:after="0" w:line="240" w:lineRule="auto"/>
        <w:jc w:val="both"/>
        <w:rPr>
          <w:rFonts w:ascii="Bookman Old Style" w:eastAsia="Times New Roman" w:hAnsi="Bookman Old Style" w:cs="Calibri"/>
          <w:b/>
          <w:lang w:eastAsia="es-CO"/>
        </w:rPr>
      </w:pPr>
      <w:r w:rsidRPr="00986F37">
        <w:rPr>
          <w:rFonts w:ascii="Bookman Old Style" w:eastAsia="Times New Roman" w:hAnsi="Bookman Old Style" w:cs="Calibri"/>
          <w:b/>
          <w:lang w:eastAsia="es-CO"/>
        </w:rPr>
        <w:t xml:space="preserve">   </w:t>
      </w:r>
      <w:r w:rsidRPr="00986F37">
        <w:rPr>
          <w:rFonts w:ascii="Bookman Old Style" w:eastAsia="Times New Roman" w:hAnsi="Bookman Old Style" w:cs="Calibri"/>
          <w:b/>
          <w:lang w:eastAsia="es-CO"/>
        </w:rPr>
        <w:tab/>
      </w:r>
    </w:p>
    <w:p w14:paraId="5C9FF8B7" w14:textId="1E73C1C8" w:rsidR="00285A3E" w:rsidRPr="00986F37" w:rsidRDefault="00285A3E" w:rsidP="00285A3E">
      <w:pPr>
        <w:spacing w:after="0" w:line="240" w:lineRule="auto"/>
        <w:jc w:val="both"/>
        <w:rPr>
          <w:rFonts w:ascii="Bookman Old Style" w:eastAsia="Times New Roman" w:hAnsi="Bookman Old Style" w:cs="Calibri"/>
          <w:b/>
          <w:lang w:eastAsia="es-CO"/>
        </w:rPr>
      </w:pPr>
      <w:r w:rsidRPr="00986F37">
        <w:rPr>
          <w:rFonts w:ascii="Bookman Old Style" w:eastAsia="Times New Roman" w:hAnsi="Bookman Old Style" w:cs="Calibri"/>
          <w:b/>
          <w:lang w:eastAsia="es-CO"/>
        </w:rPr>
        <w:t xml:space="preserve">   </w:t>
      </w:r>
      <w:r w:rsidR="00B1193E" w:rsidRPr="00986F37">
        <w:rPr>
          <w:rFonts w:ascii="Bookman Old Style" w:eastAsia="Times New Roman" w:hAnsi="Bookman Old Style" w:cs="Calibri"/>
          <w:b/>
          <w:lang w:eastAsia="es-CO"/>
        </w:rPr>
        <w:t xml:space="preserve">       </w:t>
      </w:r>
      <w:r w:rsidR="00986F37">
        <w:rPr>
          <w:rFonts w:ascii="Bookman Old Style" w:eastAsia="Times New Roman" w:hAnsi="Bookman Old Style" w:cs="Calibri"/>
          <w:b/>
          <w:lang w:eastAsia="es-CO"/>
        </w:rPr>
        <w:t xml:space="preserve">                         </w:t>
      </w:r>
      <w:r w:rsidRPr="00986F37">
        <w:rPr>
          <w:rFonts w:ascii="Bookman Old Style" w:eastAsia="Times New Roman" w:hAnsi="Bookman Old Style" w:cs="Calibri"/>
          <w:b/>
          <w:lang w:eastAsia="es-CO"/>
        </w:rPr>
        <w:t>AMPARO Y. CALDERON PERDOMO</w:t>
      </w:r>
    </w:p>
    <w:p w14:paraId="76F20126" w14:textId="21E63D27" w:rsidR="00285A3E" w:rsidRPr="00986F37" w:rsidRDefault="00285A3E" w:rsidP="00B1193E">
      <w:pPr>
        <w:tabs>
          <w:tab w:val="center" w:pos="4419"/>
        </w:tabs>
        <w:spacing w:after="0" w:line="240" w:lineRule="auto"/>
        <w:jc w:val="both"/>
        <w:rPr>
          <w:rFonts w:ascii="Bookman Old Style" w:hAnsi="Bookman Old Style" w:cs="Calibri"/>
          <w:b/>
        </w:rPr>
      </w:pPr>
      <w:r w:rsidRPr="00986F37">
        <w:rPr>
          <w:rFonts w:ascii="Bookman Old Style" w:eastAsia="Times New Roman" w:hAnsi="Bookman Old Style" w:cs="Calibri"/>
          <w:lang w:eastAsia="es-CO"/>
        </w:rPr>
        <w:t xml:space="preserve">                                     </w:t>
      </w:r>
      <w:r w:rsidR="00B1193E" w:rsidRPr="00986F37">
        <w:rPr>
          <w:rFonts w:ascii="Bookman Old Style" w:eastAsia="Times New Roman" w:hAnsi="Bookman Old Style" w:cs="Calibri"/>
          <w:lang w:eastAsia="es-CO"/>
        </w:rPr>
        <w:t xml:space="preserve">      </w:t>
      </w:r>
      <w:r w:rsidR="00443E81" w:rsidRPr="00986F37">
        <w:rPr>
          <w:rFonts w:ascii="Bookman Old Style" w:eastAsia="Times New Roman" w:hAnsi="Bookman Old Style" w:cs="Calibri"/>
          <w:lang w:eastAsia="es-CO"/>
        </w:rPr>
        <w:t xml:space="preserve">          </w:t>
      </w:r>
      <w:r w:rsidRPr="00986F37">
        <w:rPr>
          <w:rFonts w:ascii="Bookman Old Style" w:eastAsia="Times New Roman" w:hAnsi="Bookman Old Style" w:cs="Calibri"/>
          <w:lang w:eastAsia="es-CO"/>
        </w:rPr>
        <w:t>Secretaria</w:t>
      </w:r>
    </w:p>
    <w:sectPr w:rsidR="00285A3E" w:rsidRPr="00986F37"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9DDCA" w14:textId="77777777" w:rsidR="006F728F" w:rsidRDefault="006F728F" w:rsidP="00F464B3">
      <w:pPr>
        <w:spacing w:after="0" w:line="240" w:lineRule="auto"/>
      </w:pPr>
      <w:r>
        <w:separator/>
      </w:r>
    </w:p>
  </w:endnote>
  <w:endnote w:type="continuationSeparator" w:id="0">
    <w:p w14:paraId="199149BE" w14:textId="77777777" w:rsidR="006F728F" w:rsidRDefault="006F728F"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1ED47C57" w:rsidR="00FD20B5" w:rsidRDefault="00FD20B5">
        <w:pPr>
          <w:pStyle w:val="Piedepgina"/>
          <w:jc w:val="right"/>
        </w:pPr>
        <w:r>
          <w:fldChar w:fldCharType="begin"/>
        </w:r>
        <w:r>
          <w:instrText>PAGE   \* MERGEFORMAT</w:instrText>
        </w:r>
        <w:r>
          <w:fldChar w:fldCharType="separate"/>
        </w:r>
        <w:r w:rsidR="00FD0D7D" w:rsidRPr="00FD0D7D">
          <w:rPr>
            <w:noProof/>
            <w:lang w:val="es-ES"/>
          </w:rPr>
          <w:t>2</w:t>
        </w:r>
        <w:r>
          <w:fldChar w:fldCharType="end"/>
        </w:r>
      </w:p>
    </w:sdtContent>
  </w:sdt>
  <w:p w14:paraId="421B457E" w14:textId="77777777" w:rsidR="00FD20B5" w:rsidRDefault="00FD2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A97FC" w14:textId="77777777" w:rsidR="006F728F" w:rsidRDefault="006F728F" w:rsidP="00F464B3">
      <w:pPr>
        <w:spacing w:after="0" w:line="240" w:lineRule="auto"/>
      </w:pPr>
      <w:r>
        <w:separator/>
      </w:r>
    </w:p>
  </w:footnote>
  <w:footnote w:type="continuationSeparator" w:id="0">
    <w:p w14:paraId="5FF17255" w14:textId="77777777" w:rsidR="006F728F" w:rsidRDefault="006F728F"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3632BC5"/>
    <w:multiLevelType w:val="multilevel"/>
    <w:tmpl w:val="DDFCB198"/>
    <w:lvl w:ilvl="0">
      <w:start w:val="6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4433092"/>
    <w:multiLevelType w:val="multilevel"/>
    <w:tmpl w:val="2EF4AB1E"/>
    <w:lvl w:ilvl="0">
      <w:start w:val="4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C4728B3"/>
    <w:multiLevelType w:val="hybridMultilevel"/>
    <w:tmpl w:val="79C602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B2C5E"/>
    <w:multiLevelType w:val="multilevel"/>
    <w:tmpl w:val="85383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0FF43E84"/>
    <w:multiLevelType w:val="multilevel"/>
    <w:tmpl w:val="ACD295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5CB42FB"/>
    <w:multiLevelType w:val="multilevel"/>
    <w:tmpl w:val="A4607196"/>
    <w:lvl w:ilvl="0">
      <w:start w:val="61"/>
      <w:numFmt w:val="decimal"/>
      <w:lvlText w:val="%1."/>
      <w:lvlJc w:val="left"/>
      <w:pPr>
        <w:ind w:left="560" w:hanging="560"/>
      </w:pPr>
    </w:lvl>
    <w:lvl w:ilvl="1">
      <w:start w:val="1"/>
      <w:numFmt w:val="decimal"/>
      <w:lvlText w:val="%1.%2."/>
      <w:lvlJc w:val="left"/>
      <w:pPr>
        <w:ind w:left="128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4F513B3"/>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1665955"/>
    <w:multiLevelType w:val="multilevel"/>
    <w:tmpl w:val="C312FEA4"/>
    <w:lvl w:ilvl="0">
      <w:start w:val="3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03A0E92"/>
    <w:multiLevelType w:val="multilevel"/>
    <w:tmpl w:val="62ACF4C0"/>
    <w:lvl w:ilvl="0">
      <w:start w:val="6"/>
      <w:numFmt w:val="decimal"/>
      <w:lvlText w:val="%1."/>
      <w:lvlJc w:val="left"/>
      <w:pPr>
        <w:ind w:left="450" w:hanging="450"/>
      </w:pPr>
      <w:rPr>
        <w:rFonts w:hint="default"/>
      </w:rPr>
    </w:lvl>
    <w:lvl w:ilvl="1">
      <w:start w:val="1"/>
      <w:numFmt w:val="decimal"/>
      <w:lvlText w:val="%1.%2."/>
      <w:lvlJc w:val="left"/>
      <w:pPr>
        <w:ind w:left="1167" w:hanging="720"/>
      </w:pPr>
      <w:rPr>
        <w:rFonts w:hint="default"/>
      </w:rPr>
    </w:lvl>
    <w:lvl w:ilvl="2">
      <w:start w:val="1"/>
      <w:numFmt w:val="decimal"/>
      <w:lvlText w:val="%1.%2.%3."/>
      <w:lvlJc w:val="left"/>
      <w:pPr>
        <w:ind w:left="1614" w:hanging="720"/>
      </w:pPr>
      <w:rPr>
        <w:rFonts w:hint="default"/>
      </w:rPr>
    </w:lvl>
    <w:lvl w:ilvl="3">
      <w:start w:val="1"/>
      <w:numFmt w:val="decimal"/>
      <w:lvlText w:val="%1.%2.%3.%4."/>
      <w:lvlJc w:val="left"/>
      <w:pPr>
        <w:ind w:left="2421" w:hanging="1080"/>
      </w:pPr>
      <w:rPr>
        <w:rFonts w:hint="default"/>
      </w:rPr>
    </w:lvl>
    <w:lvl w:ilvl="4">
      <w:start w:val="1"/>
      <w:numFmt w:val="decimal"/>
      <w:lvlText w:val="%1.%2.%3.%4.%5."/>
      <w:lvlJc w:val="left"/>
      <w:pPr>
        <w:ind w:left="3228" w:hanging="1440"/>
      </w:pPr>
      <w:rPr>
        <w:rFonts w:hint="default"/>
      </w:rPr>
    </w:lvl>
    <w:lvl w:ilvl="5">
      <w:start w:val="1"/>
      <w:numFmt w:val="decimal"/>
      <w:lvlText w:val="%1.%2.%3.%4.%5.%6."/>
      <w:lvlJc w:val="left"/>
      <w:pPr>
        <w:ind w:left="3675" w:hanging="1440"/>
      </w:pPr>
      <w:rPr>
        <w:rFonts w:hint="default"/>
      </w:rPr>
    </w:lvl>
    <w:lvl w:ilvl="6">
      <w:start w:val="1"/>
      <w:numFmt w:val="decimal"/>
      <w:lvlText w:val="%1.%2.%3.%4.%5.%6.%7."/>
      <w:lvlJc w:val="left"/>
      <w:pPr>
        <w:ind w:left="4482" w:hanging="1800"/>
      </w:pPr>
      <w:rPr>
        <w:rFonts w:hint="default"/>
      </w:rPr>
    </w:lvl>
    <w:lvl w:ilvl="7">
      <w:start w:val="1"/>
      <w:numFmt w:val="decimal"/>
      <w:lvlText w:val="%1.%2.%3.%4.%5.%6.%7.%8."/>
      <w:lvlJc w:val="left"/>
      <w:pPr>
        <w:ind w:left="4929" w:hanging="1800"/>
      </w:pPr>
      <w:rPr>
        <w:rFonts w:hint="default"/>
      </w:rPr>
    </w:lvl>
    <w:lvl w:ilvl="8">
      <w:start w:val="1"/>
      <w:numFmt w:val="decimal"/>
      <w:lvlText w:val="%1.%2.%3.%4.%5.%6.%7.%8.%9."/>
      <w:lvlJc w:val="left"/>
      <w:pPr>
        <w:ind w:left="5736" w:hanging="2160"/>
      </w:pPr>
      <w:rPr>
        <w:rFonts w:hint="default"/>
      </w:rPr>
    </w:lvl>
  </w:abstractNum>
  <w:abstractNum w:abstractNumId="39" w15:restartNumberingAfterBreak="0">
    <w:nsid w:val="50BA434B"/>
    <w:multiLevelType w:val="multilevel"/>
    <w:tmpl w:val="68C6FFD4"/>
    <w:lvl w:ilvl="0">
      <w:start w:val="32"/>
      <w:numFmt w:val="decimal"/>
      <w:lvlText w:val="%1."/>
      <w:lvlJc w:val="left"/>
      <w:pPr>
        <w:ind w:left="600" w:hanging="600"/>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5311672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5550375E"/>
    <w:multiLevelType w:val="hybridMultilevel"/>
    <w:tmpl w:val="6D84E03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602633C"/>
    <w:multiLevelType w:val="hybridMultilevel"/>
    <w:tmpl w:val="280A885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63C13214"/>
    <w:multiLevelType w:val="multilevel"/>
    <w:tmpl w:val="AD92243E"/>
    <w:lvl w:ilvl="0">
      <w:start w:val="31"/>
      <w:numFmt w:val="decimal"/>
      <w:lvlText w:val="%1"/>
      <w:lvlJc w:val="left"/>
      <w:pPr>
        <w:ind w:left="525" w:hanging="525"/>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51" w15:restartNumberingAfterBreak="0">
    <w:nsid w:val="63F623FD"/>
    <w:multiLevelType w:val="multilevel"/>
    <w:tmpl w:val="CB64413A"/>
    <w:lvl w:ilvl="0">
      <w:start w:val="78"/>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4734AA9"/>
    <w:multiLevelType w:val="multilevel"/>
    <w:tmpl w:val="D1147760"/>
    <w:lvl w:ilvl="0">
      <w:start w:val="31"/>
      <w:numFmt w:val="decimal"/>
      <w:lvlText w:val="%1."/>
      <w:lvlJc w:val="left"/>
      <w:pPr>
        <w:ind w:left="600" w:hanging="60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67061466"/>
    <w:multiLevelType w:val="multilevel"/>
    <w:tmpl w:val="E56AC506"/>
    <w:lvl w:ilvl="0">
      <w:start w:val="32"/>
      <w:numFmt w:val="decimal"/>
      <w:lvlText w:val="%1."/>
      <w:lvlJc w:val="left"/>
      <w:pPr>
        <w:ind w:left="600" w:hanging="600"/>
      </w:pPr>
      <w:rPr>
        <w:rFonts w:hint="default"/>
      </w:rPr>
    </w:lvl>
    <w:lvl w:ilvl="1">
      <w:start w:val="3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15:restartNumberingAfterBreak="0">
    <w:nsid w:val="671B5670"/>
    <w:multiLevelType w:val="multilevel"/>
    <w:tmpl w:val="7D62AD8C"/>
    <w:lvl w:ilvl="0">
      <w:start w:val="79"/>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2"/>
  </w:num>
  <w:num w:numId="2">
    <w:abstractNumId w:val="36"/>
  </w:num>
  <w:num w:numId="3">
    <w:abstractNumId w:val="41"/>
  </w:num>
  <w:num w:numId="4">
    <w:abstractNumId w:val="27"/>
  </w:num>
  <w:num w:numId="5">
    <w:abstractNumId w:val="34"/>
  </w:num>
  <w:num w:numId="6">
    <w:abstractNumId w:val="47"/>
  </w:num>
  <w:num w:numId="7">
    <w:abstractNumId w:val="64"/>
  </w:num>
  <w:num w:numId="8">
    <w:abstractNumId w:val="10"/>
  </w:num>
  <w:num w:numId="9">
    <w:abstractNumId w:val="13"/>
  </w:num>
  <w:num w:numId="10">
    <w:abstractNumId w:val="43"/>
  </w:num>
  <w:num w:numId="11">
    <w:abstractNumId w:val="49"/>
  </w:num>
  <w:num w:numId="12">
    <w:abstractNumId w:val="54"/>
  </w:num>
  <w:num w:numId="13">
    <w:abstractNumId w:val="48"/>
  </w:num>
  <w:num w:numId="14">
    <w:abstractNumId w:val="61"/>
  </w:num>
  <w:num w:numId="15">
    <w:abstractNumId w:val="46"/>
  </w:num>
  <w:num w:numId="16">
    <w:abstractNumId w:val="16"/>
  </w:num>
  <w:num w:numId="17">
    <w:abstractNumId w:val="12"/>
  </w:num>
  <w:num w:numId="18">
    <w:abstractNumId w:val="20"/>
  </w:num>
  <w:num w:numId="19">
    <w:abstractNumId w:val="21"/>
  </w:num>
  <w:num w:numId="20">
    <w:abstractNumId w:val="62"/>
  </w:num>
  <w:num w:numId="21">
    <w:abstractNumId w:val="32"/>
  </w:num>
  <w:num w:numId="22">
    <w:abstractNumId w:val="65"/>
  </w:num>
  <w:num w:numId="23">
    <w:abstractNumId w:val="26"/>
  </w:num>
  <w:num w:numId="24">
    <w:abstractNumId w:val="8"/>
  </w:num>
  <w:num w:numId="25">
    <w:abstractNumId w:val="4"/>
  </w:num>
  <w:num w:numId="26">
    <w:abstractNumId w:val="25"/>
  </w:num>
  <w:num w:numId="27">
    <w:abstractNumId w:val="58"/>
  </w:num>
  <w:num w:numId="28">
    <w:abstractNumId w:val="23"/>
  </w:num>
  <w:num w:numId="29">
    <w:abstractNumId w:val="67"/>
  </w:num>
  <w:num w:numId="30">
    <w:abstractNumId w:val="66"/>
  </w:num>
  <w:num w:numId="31">
    <w:abstractNumId w:val="33"/>
  </w:num>
  <w:num w:numId="32">
    <w:abstractNumId w:val="57"/>
  </w:num>
  <w:num w:numId="33">
    <w:abstractNumId w:val="17"/>
  </w:num>
  <w:num w:numId="34">
    <w:abstractNumId w:val="18"/>
  </w:num>
  <w:num w:numId="35">
    <w:abstractNumId w:val="59"/>
  </w:num>
  <w:num w:numId="36">
    <w:abstractNumId w:val="60"/>
  </w:num>
  <w:num w:numId="37">
    <w:abstractNumId w:val="68"/>
  </w:num>
  <w:num w:numId="38">
    <w:abstractNumId w:val="19"/>
  </w:num>
  <w:num w:numId="39">
    <w:abstractNumId w:val="28"/>
  </w:num>
  <w:num w:numId="40">
    <w:abstractNumId w:val="31"/>
  </w:num>
  <w:num w:numId="41">
    <w:abstractNumId w:val="35"/>
  </w:num>
  <w:num w:numId="42">
    <w:abstractNumId w:val="53"/>
  </w:num>
  <w:num w:numId="43">
    <w:abstractNumId w:val="37"/>
  </w:num>
  <w:num w:numId="44">
    <w:abstractNumId w:val="24"/>
  </w:num>
  <w:num w:numId="45">
    <w:abstractNumId w:val="29"/>
  </w:num>
  <w:num w:numId="46">
    <w:abstractNumId w:val="63"/>
  </w:num>
  <w:num w:numId="47">
    <w:abstractNumId w:val="15"/>
  </w:num>
  <w:num w:numId="48">
    <w:abstractNumId w:val="0"/>
  </w:num>
  <w:num w:numId="49">
    <w:abstractNumId w:val="7"/>
  </w:num>
  <w:num w:numId="50">
    <w:abstractNumId w:val="2"/>
  </w:num>
  <w:num w:numId="51">
    <w:abstractNumId w:val="14"/>
  </w:num>
  <w:num w:numId="52">
    <w:abstractNumId w:val="30"/>
  </w:num>
  <w:num w:numId="53">
    <w:abstractNumId w:val="40"/>
  </w:num>
  <w:num w:numId="54">
    <w:abstractNumId w:val="11"/>
  </w:num>
  <w:num w:numId="55">
    <w:abstractNumId w:val="56"/>
  </w:num>
  <w:num w:numId="56">
    <w:abstractNumId w:val="51"/>
  </w:num>
  <w:num w:numId="57">
    <w:abstractNumId w:val="9"/>
  </w:num>
  <w:num w:numId="58">
    <w:abstractNumId w:val="44"/>
  </w:num>
  <w:num w:numId="59">
    <w:abstractNumId w:val="45"/>
  </w:num>
  <w:num w:numId="60">
    <w:abstractNumId w:val="39"/>
  </w:num>
  <w:num w:numId="61">
    <w:abstractNumId w:val="38"/>
  </w:num>
  <w:num w:numId="62">
    <w:abstractNumId w:val="3"/>
  </w:num>
  <w:num w:numId="63">
    <w:abstractNumId w:val="1"/>
  </w:num>
  <w:num w:numId="64">
    <w:abstractNumId w:val="5"/>
  </w:num>
  <w:num w:numId="65">
    <w:abstractNumId w:val="55"/>
  </w:num>
  <w:num w:numId="66">
    <w:abstractNumId w:val="52"/>
  </w:num>
  <w:num w:numId="67">
    <w:abstractNumId w:val="22"/>
  </w:num>
  <w:num w:numId="68">
    <w:abstractNumId w:val="50"/>
  </w:num>
  <w:num w:numId="69">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190"/>
    <w:rsid w:val="000045AC"/>
    <w:rsid w:val="000124B8"/>
    <w:rsid w:val="0001436C"/>
    <w:rsid w:val="00014E47"/>
    <w:rsid w:val="000160C5"/>
    <w:rsid w:val="000179F1"/>
    <w:rsid w:val="00017ECA"/>
    <w:rsid w:val="0002009E"/>
    <w:rsid w:val="00020668"/>
    <w:rsid w:val="00020D63"/>
    <w:rsid w:val="00020EBA"/>
    <w:rsid w:val="000232A5"/>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96E49"/>
    <w:rsid w:val="000A085C"/>
    <w:rsid w:val="000A41B6"/>
    <w:rsid w:val="000A41BE"/>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2AA"/>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B76"/>
    <w:rsid w:val="001325C5"/>
    <w:rsid w:val="00132A09"/>
    <w:rsid w:val="00132CC4"/>
    <w:rsid w:val="0013623F"/>
    <w:rsid w:val="001412D4"/>
    <w:rsid w:val="001414BB"/>
    <w:rsid w:val="00143359"/>
    <w:rsid w:val="001455BD"/>
    <w:rsid w:val="00146217"/>
    <w:rsid w:val="00146466"/>
    <w:rsid w:val="0015426D"/>
    <w:rsid w:val="0015512A"/>
    <w:rsid w:val="00156646"/>
    <w:rsid w:val="0015777F"/>
    <w:rsid w:val="00163C52"/>
    <w:rsid w:val="001645A1"/>
    <w:rsid w:val="00164804"/>
    <w:rsid w:val="00166B48"/>
    <w:rsid w:val="00167AA0"/>
    <w:rsid w:val="00170E01"/>
    <w:rsid w:val="0017133E"/>
    <w:rsid w:val="00171B5A"/>
    <w:rsid w:val="00174792"/>
    <w:rsid w:val="00175521"/>
    <w:rsid w:val="00180D52"/>
    <w:rsid w:val="001814DA"/>
    <w:rsid w:val="001859AC"/>
    <w:rsid w:val="00187BDB"/>
    <w:rsid w:val="001A22C7"/>
    <w:rsid w:val="001A4525"/>
    <w:rsid w:val="001A650C"/>
    <w:rsid w:val="001B11A0"/>
    <w:rsid w:val="001B24AF"/>
    <w:rsid w:val="001B3073"/>
    <w:rsid w:val="001C3B3B"/>
    <w:rsid w:val="001C430B"/>
    <w:rsid w:val="001C443E"/>
    <w:rsid w:val="001C4B0B"/>
    <w:rsid w:val="001D1723"/>
    <w:rsid w:val="001D4BC6"/>
    <w:rsid w:val="001E0A8D"/>
    <w:rsid w:val="001E1FFE"/>
    <w:rsid w:val="001E2F40"/>
    <w:rsid w:val="001E3F0C"/>
    <w:rsid w:val="001E64C8"/>
    <w:rsid w:val="001F1366"/>
    <w:rsid w:val="001F212A"/>
    <w:rsid w:val="001F3415"/>
    <w:rsid w:val="00203AA3"/>
    <w:rsid w:val="00203BAF"/>
    <w:rsid w:val="00204548"/>
    <w:rsid w:val="002122B9"/>
    <w:rsid w:val="002161A0"/>
    <w:rsid w:val="00216A70"/>
    <w:rsid w:val="00217602"/>
    <w:rsid w:val="0022265F"/>
    <w:rsid w:val="002239AB"/>
    <w:rsid w:val="00223C62"/>
    <w:rsid w:val="00224D25"/>
    <w:rsid w:val="00232830"/>
    <w:rsid w:val="00232EEB"/>
    <w:rsid w:val="00234EB6"/>
    <w:rsid w:val="00237BCB"/>
    <w:rsid w:val="00240AE1"/>
    <w:rsid w:val="002419BE"/>
    <w:rsid w:val="002446B7"/>
    <w:rsid w:val="0024714F"/>
    <w:rsid w:val="002537D9"/>
    <w:rsid w:val="0025642A"/>
    <w:rsid w:val="0025745F"/>
    <w:rsid w:val="002600E0"/>
    <w:rsid w:val="00265C75"/>
    <w:rsid w:val="00266F05"/>
    <w:rsid w:val="00271232"/>
    <w:rsid w:val="0027373B"/>
    <w:rsid w:val="00273C85"/>
    <w:rsid w:val="00275203"/>
    <w:rsid w:val="00275E68"/>
    <w:rsid w:val="002769F8"/>
    <w:rsid w:val="00281183"/>
    <w:rsid w:val="0028188C"/>
    <w:rsid w:val="00281E60"/>
    <w:rsid w:val="00283BF7"/>
    <w:rsid w:val="00285A3E"/>
    <w:rsid w:val="00292419"/>
    <w:rsid w:val="00294C57"/>
    <w:rsid w:val="002960E0"/>
    <w:rsid w:val="00296DD2"/>
    <w:rsid w:val="002A05CF"/>
    <w:rsid w:val="002A1DCE"/>
    <w:rsid w:val="002A630F"/>
    <w:rsid w:val="002B0A6E"/>
    <w:rsid w:val="002B3FA6"/>
    <w:rsid w:val="002B5DE3"/>
    <w:rsid w:val="002B7BC5"/>
    <w:rsid w:val="002C0FCD"/>
    <w:rsid w:val="002C2736"/>
    <w:rsid w:val="002C313D"/>
    <w:rsid w:val="002D20EE"/>
    <w:rsid w:val="002D29CC"/>
    <w:rsid w:val="002D36BF"/>
    <w:rsid w:val="002F2A40"/>
    <w:rsid w:val="002F570D"/>
    <w:rsid w:val="002F5EF2"/>
    <w:rsid w:val="002F603A"/>
    <w:rsid w:val="002F6B73"/>
    <w:rsid w:val="003025B7"/>
    <w:rsid w:val="003048FD"/>
    <w:rsid w:val="00304A48"/>
    <w:rsid w:val="00310BD0"/>
    <w:rsid w:val="00312721"/>
    <w:rsid w:val="00312C01"/>
    <w:rsid w:val="003142E3"/>
    <w:rsid w:val="00314BD2"/>
    <w:rsid w:val="00316345"/>
    <w:rsid w:val="00316E7C"/>
    <w:rsid w:val="00321E0D"/>
    <w:rsid w:val="003242AF"/>
    <w:rsid w:val="00324A73"/>
    <w:rsid w:val="00332898"/>
    <w:rsid w:val="003330D8"/>
    <w:rsid w:val="003455CB"/>
    <w:rsid w:val="00347485"/>
    <w:rsid w:val="0035055D"/>
    <w:rsid w:val="00352BB2"/>
    <w:rsid w:val="00353A29"/>
    <w:rsid w:val="00353F1E"/>
    <w:rsid w:val="003549ED"/>
    <w:rsid w:val="0035673C"/>
    <w:rsid w:val="003572F2"/>
    <w:rsid w:val="003608E4"/>
    <w:rsid w:val="00360AD3"/>
    <w:rsid w:val="003619AC"/>
    <w:rsid w:val="00363364"/>
    <w:rsid w:val="003652A3"/>
    <w:rsid w:val="00367C70"/>
    <w:rsid w:val="00370333"/>
    <w:rsid w:val="00371367"/>
    <w:rsid w:val="003729B1"/>
    <w:rsid w:val="00374B50"/>
    <w:rsid w:val="003756F8"/>
    <w:rsid w:val="00376461"/>
    <w:rsid w:val="003775E6"/>
    <w:rsid w:val="003831CF"/>
    <w:rsid w:val="00383741"/>
    <w:rsid w:val="00385A1B"/>
    <w:rsid w:val="003877D7"/>
    <w:rsid w:val="00394054"/>
    <w:rsid w:val="00397DD8"/>
    <w:rsid w:val="003A56FB"/>
    <w:rsid w:val="003B2CD7"/>
    <w:rsid w:val="003B470F"/>
    <w:rsid w:val="003B5426"/>
    <w:rsid w:val="003B79F3"/>
    <w:rsid w:val="003B7C49"/>
    <w:rsid w:val="003C4873"/>
    <w:rsid w:val="003C550A"/>
    <w:rsid w:val="003C554A"/>
    <w:rsid w:val="003C567B"/>
    <w:rsid w:val="003C6C4F"/>
    <w:rsid w:val="003D3429"/>
    <w:rsid w:val="003D37C7"/>
    <w:rsid w:val="003E3037"/>
    <w:rsid w:val="003F22E4"/>
    <w:rsid w:val="003F4D03"/>
    <w:rsid w:val="003F7482"/>
    <w:rsid w:val="004029C1"/>
    <w:rsid w:val="00403989"/>
    <w:rsid w:val="00412FAD"/>
    <w:rsid w:val="0041313E"/>
    <w:rsid w:val="00413BC5"/>
    <w:rsid w:val="00415236"/>
    <w:rsid w:val="004201D0"/>
    <w:rsid w:val="0042030F"/>
    <w:rsid w:val="00423C49"/>
    <w:rsid w:val="004250DB"/>
    <w:rsid w:val="004304DE"/>
    <w:rsid w:val="004325B6"/>
    <w:rsid w:val="00433D2B"/>
    <w:rsid w:val="00435772"/>
    <w:rsid w:val="00437BC2"/>
    <w:rsid w:val="004400C7"/>
    <w:rsid w:val="004403AB"/>
    <w:rsid w:val="00443E81"/>
    <w:rsid w:val="004460C5"/>
    <w:rsid w:val="00447A9E"/>
    <w:rsid w:val="004502E0"/>
    <w:rsid w:val="004520A7"/>
    <w:rsid w:val="0045788D"/>
    <w:rsid w:val="00460471"/>
    <w:rsid w:val="00460BB0"/>
    <w:rsid w:val="0046125C"/>
    <w:rsid w:val="004621DF"/>
    <w:rsid w:val="00471D87"/>
    <w:rsid w:val="004721F2"/>
    <w:rsid w:val="00472F92"/>
    <w:rsid w:val="004747EE"/>
    <w:rsid w:val="004750CB"/>
    <w:rsid w:val="00476665"/>
    <w:rsid w:val="0048054D"/>
    <w:rsid w:val="00480B0E"/>
    <w:rsid w:val="00481881"/>
    <w:rsid w:val="0048299A"/>
    <w:rsid w:val="00484D12"/>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C7C5F"/>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1A3C"/>
    <w:rsid w:val="00582813"/>
    <w:rsid w:val="0058657B"/>
    <w:rsid w:val="005916CC"/>
    <w:rsid w:val="00596397"/>
    <w:rsid w:val="005A2D04"/>
    <w:rsid w:val="005A2FCF"/>
    <w:rsid w:val="005A3D78"/>
    <w:rsid w:val="005A576B"/>
    <w:rsid w:val="005A5952"/>
    <w:rsid w:val="005B2210"/>
    <w:rsid w:val="005B2C51"/>
    <w:rsid w:val="005B312F"/>
    <w:rsid w:val="005B41AC"/>
    <w:rsid w:val="005B4EAE"/>
    <w:rsid w:val="005C0843"/>
    <w:rsid w:val="005C0A22"/>
    <w:rsid w:val="005C1623"/>
    <w:rsid w:val="005C271B"/>
    <w:rsid w:val="005C5BAD"/>
    <w:rsid w:val="005C5E8C"/>
    <w:rsid w:val="005C685F"/>
    <w:rsid w:val="005C6FB4"/>
    <w:rsid w:val="005C7D3E"/>
    <w:rsid w:val="005D2F81"/>
    <w:rsid w:val="005D314D"/>
    <w:rsid w:val="005D3C35"/>
    <w:rsid w:val="005D478A"/>
    <w:rsid w:val="005E08BB"/>
    <w:rsid w:val="005E4DAD"/>
    <w:rsid w:val="005E53BC"/>
    <w:rsid w:val="005F3B9E"/>
    <w:rsid w:val="005F5FEC"/>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102F"/>
    <w:rsid w:val="006343BF"/>
    <w:rsid w:val="00637688"/>
    <w:rsid w:val="006417DE"/>
    <w:rsid w:val="00642EF5"/>
    <w:rsid w:val="006438E1"/>
    <w:rsid w:val="006444AA"/>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96E90"/>
    <w:rsid w:val="006A1487"/>
    <w:rsid w:val="006A61B6"/>
    <w:rsid w:val="006A64B2"/>
    <w:rsid w:val="006B2875"/>
    <w:rsid w:val="006B58CF"/>
    <w:rsid w:val="006B6C65"/>
    <w:rsid w:val="006C244C"/>
    <w:rsid w:val="006C3E27"/>
    <w:rsid w:val="006C51BD"/>
    <w:rsid w:val="006D07D4"/>
    <w:rsid w:val="006D23D9"/>
    <w:rsid w:val="006D3354"/>
    <w:rsid w:val="006D6A45"/>
    <w:rsid w:val="006D7439"/>
    <w:rsid w:val="006E0408"/>
    <w:rsid w:val="006E2BB9"/>
    <w:rsid w:val="006F1E48"/>
    <w:rsid w:val="006F287E"/>
    <w:rsid w:val="006F2E70"/>
    <w:rsid w:val="006F2F0E"/>
    <w:rsid w:val="006F309E"/>
    <w:rsid w:val="006F43DF"/>
    <w:rsid w:val="006F6235"/>
    <w:rsid w:val="006F728F"/>
    <w:rsid w:val="006F7EC7"/>
    <w:rsid w:val="00704C38"/>
    <w:rsid w:val="0071209F"/>
    <w:rsid w:val="00716F66"/>
    <w:rsid w:val="00723C8B"/>
    <w:rsid w:val="007275FB"/>
    <w:rsid w:val="00730794"/>
    <w:rsid w:val="00731851"/>
    <w:rsid w:val="00732537"/>
    <w:rsid w:val="00736FFD"/>
    <w:rsid w:val="00742023"/>
    <w:rsid w:val="00747ABC"/>
    <w:rsid w:val="00751ED7"/>
    <w:rsid w:val="0075240B"/>
    <w:rsid w:val="007538D4"/>
    <w:rsid w:val="007540B7"/>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A78D9"/>
    <w:rsid w:val="007B4F50"/>
    <w:rsid w:val="007B50FC"/>
    <w:rsid w:val="007B65AD"/>
    <w:rsid w:val="007C0162"/>
    <w:rsid w:val="007C2681"/>
    <w:rsid w:val="007C2A3E"/>
    <w:rsid w:val="007C5724"/>
    <w:rsid w:val="007C74A7"/>
    <w:rsid w:val="007D16A6"/>
    <w:rsid w:val="007D21A4"/>
    <w:rsid w:val="007D2B2D"/>
    <w:rsid w:val="007D3408"/>
    <w:rsid w:val="007E0D9F"/>
    <w:rsid w:val="007E2712"/>
    <w:rsid w:val="007E32FD"/>
    <w:rsid w:val="007E392A"/>
    <w:rsid w:val="007F0C6E"/>
    <w:rsid w:val="007F1D24"/>
    <w:rsid w:val="007F60EE"/>
    <w:rsid w:val="007F6D4F"/>
    <w:rsid w:val="00807DB9"/>
    <w:rsid w:val="00810675"/>
    <w:rsid w:val="008117CE"/>
    <w:rsid w:val="00812FA2"/>
    <w:rsid w:val="00813DE7"/>
    <w:rsid w:val="00815277"/>
    <w:rsid w:val="00816170"/>
    <w:rsid w:val="008174C5"/>
    <w:rsid w:val="00822CAA"/>
    <w:rsid w:val="00823EC1"/>
    <w:rsid w:val="00830248"/>
    <w:rsid w:val="00830D20"/>
    <w:rsid w:val="00831772"/>
    <w:rsid w:val="00831F88"/>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66D"/>
    <w:rsid w:val="00865F9B"/>
    <w:rsid w:val="0087039C"/>
    <w:rsid w:val="00871444"/>
    <w:rsid w:val="00871DE5"/>
    <w:rsid w:val="0087299B"/>
    <w:rsid w:val="00872F42"/>
    <w:rsid w:val="00877260"/>
    <w:rsid w:val="00881367"/>
    <w:rsid w:val="00881C9A"/>
    <w:rsid w:val="008857A6"/>
    <w:rsid w:val="0088646C"/>
    <w:rsid w:val="00896F08"/>
    <w:rsid w:val="008A4CF1"/>
    <w:rsid w:val="008A58CD"/>
    <w:rsid w:val="008B3F9B"/>
    <w:rsid w:val="008B4C69"/>
    <w:rsid w:val="008B5B56"/>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065E1"/>
    <w:rsid w:val="00910DAC"/>
    <w:rsid w:val="009111C5"/>
    <w:rsid w:val="009127D0"/>
    <w:rsid w:val="00912DD7"/>
    <w:rsid w:val="009151D1"/>
    <w:rsid w:val="00915C0D"/>
    <w:rsid w:val="0091706A"/>
    <w:rsid w:val="00923B80"/>
    <w:rsid w:val="00924839"/>
    <w:rsid w:val="00927330"/>
    <w:rsid w:val="0092744F"/>
    <w:rsid w:val="00927AE4"/>
    <w:rsid w:val="009304B1"/>
    <w:rsid w:val="009451E9"/>
    <w:rsid w:val="0094653D"/>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86F37"/>
    <w:rsid w:val="00992371"/>
    <w:rsid w:val="00993246"/>
    <w:rsid w:val="009932F1"/>
    <w:rsid w:val="00993BB4"/>
    <w:rsid w:val="009959F1"/>
    <w:rsid w:val="0099760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589"/>
    <w:rsid w:val="00A00489"/>
    <w:rsid w:val="00A01305"/>
    <w:rsid w:val="00A01C1A"/>
    <w:rsid w:val="00A021C5"/>
    <w:rsid w:val="00A0558D"/>
    <w:rsid w:val="00A07EDE"/>
    <w:rsid w:val="00A113B3"/>
    <w:rsid w:val="00A11E04"/>
    <w:rsid w:val="00A122AA"/>
    <w:rsid w:val="00A13C08"/>
    <w:rsid w:val="00A14CAC"/>
    <w:rsid w:val="00A177FA"/>
    <w:rsid w:val="00A20652"/>
    <w:rsid w:val="00A2188E"/>
    <w:rsid w:val="00A221A7"/>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5B15"/>
    <w:rsid w:val="00A66215"/>
    <w:rsid w:val="00A67478"/>
    <w:rsid w:val="00A71CAA"/>
    <w:rsid w:val="00A7214F"/>
    <w:rsid w:val="00A75565"/>
    <w:rsid w:val="00A75649"/>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D7E35"/>
    <w:rsid w:val="00AE120F"/>
    <w:rsid w:val="00AE1255"/>
    <w:rsid w:val="00AE1660"/>
    <w:rsid w:val="00AE26AF"/>
    <w:rsid w:val="00AE3BCF"/>
    <w:rsid w:val="00AE6C1E"/>
    <w:rsid w:val="00AF05ED"/>
    <w:rsid w:val="00AF1C4C"/>
    <w:rsid w:val="00AF5978"/>
    <w:rsid w:val="00AF61D6"/>
    <w:rsid w:val="00B03CC7"/>
    <w:rsid w:val="00B053FD"/>
    <w:rsid w:val="00B06E58"/>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489"/>
    <w:rsid w:val="00BA4E0B"/>
    <w:rsid w:val="00BA7ED0"/>
    <w:rsid w:val="00BB3A4B"/>
    <w:rsid w:val="00BB3C7B"/>
    <w:rsid w:val="00BB4782"/>
    <w:rsid w:val="00BB5149"/>
    <w:rsid w:val="00BC36CC"/>
    <w:rsid w:val="00BC4D4A"/>
    <w:rsid w:val="00BC5AF8"/>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17CD5"/>
    <w:rsid w:val="00C207EA"/>
    <w:rsid w:val="00C22957"/>
    <w:rsid w:val="00C23433"/>
    <w:rsid w:val="00C2393A"/>
    <w:rsid w:val="00C23C06"/>
    <w:rsid w:val="00C23F57"/>
    <w:rsid w:val="00C24FC2"/>
    <w:rsid w:val="00C264CE"/>
    <w:rsid w:val="00C30F89"/>
    <w:rsid w:val="00C34BD1"/>
    <w:rsid w:val="00C34F2A"/>
    <w:rsid w:val="00C358AC"/>
    <w:rsid w:val="00C414F2"/>
    <w:rsid w:val="00C430EA"/>
    <w:rsid w:val="00C44CAD"/>
    <w:rsid w:val="00C50278"/>
    <w:rsid w:val="00C52221"/>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6BD5"/>
    <w:rsid w:val="00C9246C"/>
    <w:rsid w:val="00C924C4"/>
    <w:rsid w:val="00C92D50"/>
    <w:rsid w:val="00C950D4"/>
    <w:rsid w:val="00C96031"/>
    <w:rsid w:val="00C960C4"/>
    <w:rsid w:val="00C968F1"/>
    <w:rsid w:val="00CA1934"/>
    <w:rsid w:val="00CA4DEE"/>
    <w:rsid w:val="00CA6B84"/>
    <w:rsid w:val="00CB3C1B"/>
    <w:rsid w:val="00CB66E3"/>
    <w:rsid w:val="00CC21CA"/>
    <w:rsid w:val="00CC3C18"/>
    <w:rsid w:val="00CC7223"/>
    <w:rsid w:val="00CC780A"/>
    <w:rsid w:val="00CD0342"/>
    <w:rsid w:val="00CD24D5"/>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23B8"/>
    <w:rsid w:val="00D16BEB"/>
    <w:rsid w:val="00D17891"/>
    <w:rsid w:val="00D20CE8"/>
    <w:rsid w:val="00D210D6"/>
    <w:rsid w:val="00D23552"/>
    <w:rsid w:val="00D236AD"/>
    <w:rsid w:val="00D24BE7"/>
    <w:rsid w:val="00D27E9F"/>
    <w:rsid w:val="00D30881"/>
    <w:rsid w:val="00D3392D"/>
    <w:rsid w:val="00D35426"/>
    <w:rsid w:val="00D41862"/>
    <w:rsid w:val="00D45EBF"/>
    <w:rsid w:val="00D4686B"/>
    <w:rsid w:val="00D53B7B"/>
    <w:rsid w:val="00D54F91"/>
    <w:rsid w:val="00D55310"/>
    <w:rsid w:val="00D56956"/>
    <w:rsid w:val="00D612E9"/>
    <w:rsid w:val="00D63FF4"/>
    <w:rsid w:val="00D71F77"/>
    <w:rsid w:val="00D74174"/>
    <w:rsid w:val="00D7442A"/>
    <w:rsid w:val="00D756CE"/>
    <w:rsid w:val="00D77629"/>
    <w:rsid w:val="00D80A76"/>
    <w:rsid w:val="00D80A78"/>
    <w:rsid w:val="00D810CB"/>
    <w:rsid w:val="00D81BB3"/>
    <w:rsid w:val="00D8350D"/>
    <w:rsid w:val="00D85EB3"/>
    <w:rsid w:val="00D93774"/>
    <w:rsid w:val="00DA2698"/>
    <w:rsid w:val="00DA3876"/>
    <w:rsid w:val="00DA4785"/>
    <w:rsid w:val="00DB34C5"/>
    <w:rsid w:val="00DB4357"/>
    <w:rsid w:val="00DB4642"/>
    <w:rsid w:val="00DB6710"/>
    <w:rsid w:val="00DB693E"/>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72A"/>
    <w:rsid w:val="00E85BF5"/>
    <w:rsid w:val="00E90030"/>
    <w:rsid w:val="00EA07E6"/>
    <w:rsid w:val="00EA320A"/>
    <w:rsid w:val="00EA7F1D"/>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87E"/>
    <w:rsid w:val="00EE6A61"/>
    <w:rsid w:val="00EE6DA9"/>
    <w:rsid w:val="00EE74ED"/>
    <w:rsid w:val="00EE78B1"/>
    <w:rsid w:val="00EF0082"/>
    <w:rsid w:val="00EF39A3"/>
    <w:rsid w:val="00EF6C74"/>
    <w:rsid w:val="00EF6CBD"/>
    <w:rsid w:val="00EF7F49"/>
    <w:rsid w:val="00F03557"/>
    <w:rsid w:val="00F0479D"/>
    <w:rsid w:val="00F06FB7"/>
    <w:rsid w:val="00F075AC"/>
    <w:rsid w:val="00F077D0"/>
    <w:rsid w:val="00F10637"/>
    <w:rsid w:val="00F128FF"/>
    <w:rsid w:val="00F226A2"/>
    <w:rsid w:val="00F25438"/>
    <w:rsid w:val="00F256CE"/>
    <w:rsid w:val="00F26B52"/>
    <w:rsid w:val="00F3324F"/>
    <w:rsid w:val="00F33BF0"/>
    <w:rsid w:val="00F34A66"/>
    <w:rsid w:val="00F374B1"/>
    <w:rsid w:val="00F3751E"/>
    <w:rsid w:val="00F41D78"/>
    <w:rsid w:val="00F44E71"/>
    <w:rsid w:val="00F45AD6"/>
    <w:rsid w:val="00F464B3"/>
    <w:rsid w:val="00F52F14"/>
    <w:rsid w:val="00F53163"/>
    <w:rsid w:val="00F60F02"/>
    <w:rsid w:val="00F6249F"/>
    <w:rsid w:val="00F630D8"/>
    <w:rsid w:val="00F641B8"/>
    <w:rsid w:val="00F650A3"/>
    <w:rsid w:val="00F73C04"/>
    <w:rsid w:val="00F74A1B"/>
    <w:rsid w:val="00F74F1E"/>
    <w:rsid w:val="00F762D8"/>
    <w:rsid w:val="00F77611"/>
    <w:rsid w:val="00F8234D"/>
    <w:rsid w:val="00F825B5"/>
    <w:rsid w:val="00F90EA1"/>
    <w:rsid w:val="00F93CD2"/>
    <w:rsid w:val="00F93E28"/>
    <w:rsid w:val="00FA0B60"/>
    <w:rsid w:val="00FA2762"/>
    <w:rsid w:val="00FA64B3"/>
    <w:rsid w:val="00FB287C"/>
    <w:rsid w:val="00FB3C27"/>
    <w:rsid w:val="00FB65AE"/>
    <w:rsid w:val="00FB74BA"/>
    <w:rsid w:val="00FC40AA"/>
    <w:rsid w:val="00FC74F7"/>
    <w:rsid w:val="00FD0D7D"/>
    <w:rsid w:val="00FD115E"/>
    <w:rsid w:val="00FD20B5"/>
    <w:rsid w:val="00FD6A7E"/>
    <w:rsid w:val="00FD789B"/>
    <w:rsid w:val="00FE3A80"/>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D6EE-45C8-49F8-B0A9-48797B31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2121</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cp:revision>
  <cp:lastPrinted>2024-03-21T21:59:00Z</cp:lastPrinted>
  <dcterms:created xsi:type="dcterms:W3CDTF">2024-05-20T14:01:00Z</dcterms:created>
  <dcterms:modified xsi:type="dcterms:W3CDTF">2024-05-20T14:01:00Z</dcterms:modified>
</cp:coreProperties>
</file>